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8D" w:rsidRDefault="003A488D" w:rsidP="00960B9A">
      <w:pPr>
        <w:rPr>
          <w:rFonts w:ascii="Times New Roman" w:hAnsi="Times New Roman" w:cs="Times New Roman"/>
          <w:b/>
          <w:sz w:val="28"/>
          <w:szCs w:val="28"/>
        </w:rPr>
      </w:pPr>
      <w:bookmarkStart w:id="0" w:name="_GoBack"/>
      <w:bookmarkEnd w:id="0"/>
    </w:p>
    <w:p w:rsidR="00AE2B6E" w:rsidRPr="003E07B0" w:rsidRDefault="000C30AC" w:rsidP="00FC0E66">
      <w:pPr>
        <w:jc w:val="center"/>
        <w:rPr>
          <w:rFonts w:ascii="Arial" w:hAnsi="Arial" w:cs="Arial"/>
          <w:b/>
          <w:sz w:val="32"/>
          <w:szCs w:val="32"/>
        </w:rPr>
      </w:pPr>
      <w:r w:rsidRPr="003E07B0">
        <w:rPr>
          <w:rFonts w:ascii="Arial" w:hAnsi="Arial" w:cs="Arial"/>
          <w:b/>
          <w:sz w:val="32"/>
          <w:szCs w:val="32"/>
        </w:rPr>
        <w:t>Un í</w:t>
      </w:r>
      <w:r w:rsidR="00D90A39" w:rsidRPr="003E07B0">
        <w:rPr>
          <w:rFonts w:ascii="Arial" w:hAnsi="Arial" w:cs="Arial"/>
          <w:b/>
          <w:sz w:val="32"/>
          <w:szCs w:val="32"/>
        </w:rPr>
        <w:t xml:space="preserve">ndice de </w:t>
      </w:r>
      <w:r w:rsidRPr="003E07B0">
        <w:rPr>
          <w:rFonts w:ascii="Arial" w:hAnsi="Arial" w:cs="Arial"/>
          <w:b/>
          <w:sz w:val="32"/>
          <w:szCs w:val="32"/>
        </w:rPr>
        <w:t>f</w:t>
      </w:r>
      <w:r w:rsidR="00FC0E66" w:rsidRPr="003E07B0">
        <w:rPr>
          <w:rFonts w:ascii="Arial" w:hAnsi="Arial" w:cs="Arial"/>
          <w:b/>
          <w:sz w:val="32"/>
          <w:szCs w:val="32"/>
        </w:rPr>
        <w:t xml:space="preserve">ortaleza </w:t>
      </w:r>
      <w:r w:rsidRPr="003E07B0">
        <w:rPr>
          <w:rFonts w:ascii="Arial" w:hAnsi="Arial" w:cs="Arial"/>
          <w:b/>
          <w:sz w:val="32"/>
          <w:szCs w:val="32"/>
        </w:rPr>
        <w:t>f</w:t>
      </w:r>
      <w:r w:rsidR="00FC0E66" w:rsidRPr="003E07B0">
        <w:rPr>
          <w:rFonts w:ascii="Arial" w:hAnsi="Arial" w:cs="Arial"/>
          <w:b/>
          <w:sz w:val="32"/>
          <w:szCs w:val="32"/>
        </w:rPr>
        <w:t xml:space="preserve">iscal </w:t>
      </w:r>
      <w:r w:rsidRPr="003E07B0">
        <w:rPr>
          <w:rFonts w:ascii="Arial" w:hAnsi="Arial" w:cs="Arial"/>
          <w:b/>
          <w:sz w:val="32"/>
          <w:szCs w:val="32"/>
        </w:rPr>
        <w:t>para las p</w:t>
      </w:r>
      <w:r w:rsidR="00FC0E66" w:rsidRPr="003E07B0">
        <w:rPr>
          <w:rFonts w:ascii="Arial" w:hAnsi="Arial" w:cs="Arial"/>
          <w:b/>
          <w:sz w:val="32"/>
          <w:szCs w:val="32"/>
        </w:rPr>
        <w:t xml:space="preserve">rovincias </w:t>
      </w:r>
      <w:r w:rsidRPr="003E07B0">
        <w:rPr>
          <w:rFonts w:ascii="Arial" w:hAnsi="Arial" w:cs="Arial"/>
          <w:b/>
          <w:sz w:val="32"/>
          <w:szCs w:val="32"/>
        </w:rPr>
        <w:t>a</w:t>
      </w:r>
      <w:r w:rsidR="00FC0E66" w:rsidRPr="003E07B0">
        <w:rPr>
          <w:rFonts w:ascii="Arial" w:hAnsi="Arial" w:cs="Arial"/>
          <w:b/>
          <w:sz w:val="32"/>
          <w:szCs w:val="32"/>
        </w:rPr>
        <w:t>rgentinas</w:t>
      </w:r>
      <w:r w:rsidR="0089479B">
        <w:rPr>
          <w:rStyle w:val="Refdenotaalpie"/>
          <w:rFonts w:ascii="Arial" w:hAnsi="Arial" w:cs="Arial"/>
          <w:b/>
          <w:sz w:val="32"/>
          <w:szCs w:val="32"/>
        </w:rPr>
        <w:footnoteReference w:id="1"/>
      </w:r>
    </w:p>
    <w:p w:rsidR="009151BF" w:rsidRDefault="009151BF" w:rsidP="00FC0E66">
      <w:pPr>
        <w:jc w:val="center"/>
        <w:rPr>
          <w:rFonts w:ascii="Times New Roman" w:hAnsi="Times New Roman" w:cs="Times New Roman"/>
          <w:b/>
          <w:sz w:val="24"/>
          <w:szCs w:val="24"/>
        </w:rPr>
      </w:pPr>
    </w:p>
    <w:p w:rsidR="00FC0E66" w:rsidRPr="003E07B0" w:rsidRDefault="00D90A39" w:rsidP="00FC0E66">
      <w:pPr>
        <w:jc w:val="center"/>
        <w:rPr>
          <w:rFonts w:ascii="Arial" w:hAnsi="Arial" w:cs="Arial"/>
          <w:b/>
          <w:sz w:val="24"/>
          <w:szCs w:val="24"/>
        </w:rPr>
      </w:pPr>
      <w:r w:rsidRPr="003E07B0">
        <w:rPr>
          <w:rFonts w:ascii="Arial" w:hAnsi="Arial" w:cs="Arial"/>
          <w:b/>
          <w:sz w:val="24"/>
          <w:szCs w:val="24"/>
        </w:rPr>
        <w:t>Marcelo</w:t>
      </w:r>
      <w:r w:rsidR="003E07B0" w:rsidRPr="003E07B0">
        <w:rPr>
          <w:rFonts w:ascii="Arial" w:hAnsi="Arial" w:cs="Arial"/>
          <w:b/>
          <w:sz w:val="24"/>
          <w:szCs w:val="24"/>
        </w:rPr>
        <w:t xml:space="preserve"> Luis</w:t>
      </w:r>
      <w:r w:rsidRPr="003E07B0">
        <w:rPr>
          <w:rFonts w:ascii="Arial" w:hAnsi="Arial" w:cs="Arial"/>
          <w:b/>
          <w:sz w:val="24"/>
          <w:szCs w:val="24"/>
        </w:rPr>
        <w:t xml:space="preserve"> Capello</w:t>
      </w:r>
      <w:r w:rsidR="00733F41">
        <w:rPr>
          <w:rStyle w:val="Refdenotaalpie"/>
          <w:rFonts w:ascii="Arial" w:hAnsi="Arial" w:cs="Arial"/>
          <w:b/>
          <w:sz w:val="24"/>
          <w:szCs w:val="24"/>
        </w:rPr>
        <w:footnoteReference w:id="2"/>
      </w:r>
      <w:r w:rsidRPr="003E07B0">
        <w:rPr>
          <w:rFonts w:ascii="Arial" w:hAnsi="Arial" w:cs="Arial"/>
          <w:b/>
          <w:sz w:val="24"/>
          <w:szCs w:val="24"/>
        </w:rPr>
        <w:t xml:space="preserve">, Lucía </w:t>
      </w:r>
      <w:r w:rsidR="003E07B0" w:rsidRPr="003E07B0">
        <w:rPr>
          <w:rFonts w:ascii="Arial" w:hAnsi="Arial" w:cs="Arial"/>
          <w:b/>
          <w:sz w:val="24"/>
          <w:szCs w:val="24"/>
        </w:rPr>
        <w:t xml:space="preserve">Valentina </w:t>
      </w:r>
      <w:r w:rsidRPr="003E07B0">
        <w:rPr>
          <w:rFonts w:ascii="Arial" w:hAnsi="Arial" w:cs="Arial"/>
          <w:b/>
          <w:sz w:val="24"/>
          <w:szCs w:val="24"/>
        </w:rPr>
        <w:t>Iglesias</w:t>
      </w:r>
      <w:r w:rsidR="00733F41">
        <w:rPr>
          <w:rStyle w:val="Refdenotaalpie"/>
          <w:rFonts w:ascii="Arial" w:hAnsi="Arial" w:cs="Arial"/>
          <w:b/>
          <w:sz w:val="24"/>
          <w:szCs w:val="24"/>
        </w:rPr>
        <w:footnoteReference w:id="3"/>
      </w:r>
      <w:r w:rsidRPr="003E07B0">
        <w:rPr>
          <w:rFonts w:ascii="Arial" w:hAnsi="Arial" w:cs="Arial"/>
          <w:b/>
          <w:sz w:val="24"/>
          <w:szCs w:val="24"/>
        </w:rPr>
        <w:t xml:space="preserve">, Luis </w:t>
      </w:r>
      <w:r w:rsidR="003E07B0" w:rsidRPr="003E07B0">
        <w:rPr>
          <w:rFonts w:ascii="Arial" w:hAnsi="Arial" w:cs="Arial"/>
          <w:b/>
          <w:sz w:val="24"/>
          <w:szCs w:val="24"/>
        </w:rPr>
        <w:t xml:space="preserve">Alberto </w:t>
      </w:r>
      <w:r w:rsidRPr="003E07B0">
        <w:rPr>
          <w:rFonts w:ascii="Arial" w:hAnsi="Arial" w:cs="Arial"/>
          <w:b/>
          <w:sz w:val="24"/>
          <w:szCs w:val="24"/>
        </w:rPr>
        <w:t>Laguinge</w:t>
      </w:r>
      <w:r w:rsidR="001736AB">
        <w:rPr>
          <w:rStyle w:val="Refdenotaalpie"/>
          <w:rFonts w:ascii="Arial" w:hAnsi="Arial" w:cs="Arial"/>
          <w:b/>
          <w:sz w:val="24"/>
          <w:szCs w:val="24"/>
        </w:rPr>
        <w:footnoteReference w:id="4"/>
      </w:r>
    </w:p>
    <w:p w:rsidR="0083486A" w:rsidRDefault="0083486A" w:rsidP="00FE2082">
      <w:pPr>
        <w:rPr>
          <w:rFonts w:ascii="Times New Roman" w:hAnsi="Times New Roman" w:cs="Times New Roman"/>
          <w:sz w:val="24"/>
          <w:szCs w:val="24"/>
        </w:rPr>
      </w:pPr>
    </w:p>
    <w:p w:rsidR="00B31574" w:rsidRPr="00B31574" w:rsidRDefault="00B31574" w:rsidP="00FC0E66">
      <w:pPr>
        <w:jc w:val="center"/>
        <w:rPr>
          <w:rFonts w:ascii="Times New Roman" w:hAnsi="Times New Roman" w:cs="Times New Roman"/>
          <w:sz w:val="24"/>
          <w:szCs w:val="24"/>
        </w:rPr>
      </w:pPr>
    </w:p>
    <w:p w:rsidR="00FC0E66" w:rsidRPr="003E07B0" w:rsidRDefault="00CB3BD2" w:rsidP="00FC0E66">
      <w:pPr>
        <w:jc w:val="center"/>
        <w:rPr>
          <w:rFonts w:ascii="Arial" w:hAnsi="Arial" w:cs="Arial"/>
          <w:b/>
          <w:sz w:val="24"/>
          <w:szCs w:val="24"/>
        </w:rPr>
      </w:pPr>
      <w:r>
        <w:rPr>
          <w:rFonts w:ascii="Arial" w:hAnsi="Arial" w:cs="Arial"/>
          <w:b/>
          <w:sz w:val="24"/>
          <w:szCs w:val="24"/>
        </w:rPr>
        <w:t>Junio</w:t>
      </w:r>
      <w:r w:rsidR="003A488D" w:rsidRPr="003E07B0">
        <w:rPr>
          <w:rFonts w:ascii="Arial" w:hAnsi="Arial" w:cs="Arial"/>
          <w:b/>
          <w:sz w:val="24"/>
          <w:szCs w:val="24"/>
        </w:rPr>
        <w:t xml:space="preserve"> de 2018</w:t>
      </w:r>
    </w:p>
    <w:p w:rsidR="003A488D" w:rsidRDefault="003A488D" w:rsidP="00FC0E66">
      <w:pPr>
        <w:jc w:val="center"/>
        <w:rPr>
          <w:rFonts w:ascii="Times New Roman" w:hAnsi="Times New Roman" w:cs="Times New Roman"/>
          <w:b/>
          <w:sz w:val="24"/>
          <w:szCs w:val="24"/>
        </w:rPr>
      </w:pPr>
    </w:p>
    <w:p w:rsidR="003A488D" w:rsidRPr="003E07B0" w:rsidRDefault="003A488D" w:rsidP="00FC0E66">
      <w:pPr>
        <w:jc w:val="center"/>
        <w:rPr>
          <w:rFonts w:ascii="Arial" w:hAnsi="Arial" w:cs="Arial"/>
          <w:b/>
        </w:rPr>
      </w:pPr>
      <w:r w:rsidRPr="003E07B0">
        <w:rPr>
          <w:rFonts w:ascii="Arial" w:hAnsi="Arial" w:cs="Arial"/>
          <w:b/>
        </w:rPr>
        <w:t>Resumen</w:t>
      </w:r>
    </w:p>
    <w:p w:rsidR="00B50EA9" w:rsidRPr="003E07B0" w:rsidRDefault="00B50EA9" w:rsidP="00B50EA9">
      <w:pPr>
        <w:jc w:val="both"/>
        <w:rPr>
          <w:rFonts w:ascii="Arial" w:hAnsi="Arial" w:cs="Arial"/>
        </w:rPr>
      </w:pPr>
      <w:r w:rsidRPr="003E07B0">
        <w:rPr>
          <w:rFonts w:ascii="Arial" w:hAnsi="Arial" w:cs="Arial"/>
        </w:rPr>
        <w:t>E</w:t>
      </w:r>
      <w:r w:rsidR="007D20EB" w:rsidRPr="003E07B0">
        <w:rPr>
          <w:rFonts w:ascii="Arial" w:hAnsi="Arial" w:cs="Arial"/>
        </w:rPr>
        <w:t xml:space="preserve">n este </w:t>
      </w:r>
      <w:r w:rsidRPr="003E07B0">
        <w:rPr>
          <w:rFonts w:ascii="Arial" w:hAnsi="Arial" w:cs="Arial"/>
        </w:rPr>
        <w:t xml:space="preserve">trabajo </w:t>
      </w:r>
      <w:r w:rsidR="007D20EB" w:rsidRPr="003E07B0">
        <w:rPr>
          <w:rFonts w:ascii="Arial" w:hAnsi="Arial" w:cs="Arial"/>
        </w:rPr>
        <w:t xml:space="preserve">se propone </w:t>
      </w:r>
      <w:r w:rsidRPr="003E07B0">
        <w:rPr>
          <w:rFonts w:ascii="Arial" w:hAnsi="Arial" w:cs="Arial"/>
        </w:rPr>
        <w:t>un Índice de Fortaleza Fiscal (IFF) para las provincias argentinas</w:t>
      </w:r>
      <w:r w:rsidR="007D20EB" w:rsidRPr="003E07B0">
        <w:rPr>
          <w:rFonts w:ascii="Arial" w:hAnsi="Arial" w:cs="Arial"/>
        </w:rPr>
        <w:t>,</w:t>
      </w:r>
      <w:r w:rsidRPr="003E07B0">
        <w:rPr>
          <w:rFonts w:ascii="Arial" w:hAnsi="Arial" w:cs="Arial"/>
        </w:rPr>
        <w:t xml:space="preserve"> a través de la síntesis de diez indicadores destinados a captar las principales fuentes de </w:t>
      </w:r>
      <w:r w:rsidR="007D20EB" w:rsidRPr="003E07B0">
        <w:rPr>
          <w:rFonts w:ascii="Arial" w:hAnsi="Arial" w:cs="Arial"/>
        </w:rPr>
        <w:t xml:space="preserve">fortaleza - </w:t>
      </w:r>
      <w:r w:rsidRPr="003E07B0">
        <w:rPr>
          <w:rFonts w:ascii="Arial" w:hAnsi="Arial" w:cs="Arial"/>
        </w:rPr>
        <w:t>vulnerabilidad de las finanzas de los gobiernos sub-</w:t>
      </w:r>
      <w:r w:rsidR="00A13B3B" w:rsidRPr="003E07B0">
        <w:rPr>
          <w:rFonts w:ascii="Arial" w:hAnsi="Arial" w:cs="Arial"/>
        </w:rPr>
        <w:t xml:space="preserve">nacionales. </w:t>
      </w:r>
      <w:r w:rsidR="007D20EB" w:rsidRPr="003E07B0">
        <w:rPr>
          <w:rFonts w:ascii="Arial" w:hAnsi="Arial" w:cs="Arial"/>
        </w:rPr>
        <w:t xml:space="preserve">Se parte de una ponderación propia de indicadores </w:t>
      </w:r>
      <w:r w:rsidR="00A13B3B" w:rsidRPr="003E07B0">
        <w:rPr>
          <w:rFonts w:ascii="Arial" w:hAnsi="Arial" w:cs="Arial"/>
        </w:rPr>
        <w:t>y l</w:t>
      </w:r>
      <w:r w:rsidR="007D20EB" w:rsidRPr="003E07B0">
        <w:rPr>
          <w:rFonts w:ascii="Arial" w:hAnsi="Arial" w:cs="Arial"/>
        </w:rPr>
        <w:t xml:space="preserve">uego se recurre a una </w:t>
      </w:r>
      <w:r w:rsidR="00A13B3B" w:rsidRPr="003E07B0">
        <w:rPr>
          <w:rFonts w:ascii="Arial" w:hAnsi="Arial" w:cs="Arial"/>
        </w:rPr>
        <w:t xml:space="preserve">ponderación </w:t>
      </w:r>
      <w:r w:rsidR="007D20EB" w:rsidRPr="003E07B0">
        <w:rPr>
          <w:rFonts w:ascii="Arial" w:hAnsi="Arial" w:cs="Arial"/>
        </w:rPr>
        <w:t>a través de un a</w:t>
      </w:r>
      <w:r w:rsidR="00A13B3B" w:rsidRPr="003E07B0">
        <w:rPr>
          <w:rFonts w:ascii="Arial" w:hAnsi="Arial" w:cs="Arial"/>
        </w:rPr>
        <w:t xml:space="preserve">nálisis de Componentes Principales. Los resultados obtenidos manifiestan robustez ante diversos escenarios aleatorios de ponderación y sugieren que las provincias de </w:t>
      </w:r>
      <w:r w:rsidR="003035A8" w:rsidRPr="003E07B0">
        <w:rPr>
          <w:rFonts w:ascii="Arial" w:hAnsi="Arial" w:cs="Arial"/>
        </w:rPr>
        <w:t xml:space="preserve">Catamarca, Corrientes, San Juan, San Luis y Santiago del Estero </w:t>
      </w:r>
      <w:r w:rsidR="00F74E22" w:rsidRPr="003E07B0">
        <w:rPr>
          <w:rFonts w:ascii="Arial" w:hAnsi="Arial" w:cs="Arial"/>
        </w:rPr>
        <w:t>m</w:t>
      </w:r>
      <w:r w:rsidR="009151BF" w:rsidRPr="003E07B0">
        <w:rPr>
          <w:rFonts w:ascii="Arial" w:hAnsi="Arial" w:cs="Arial"/>
        </w:rPr>
        <w:t xml:space="preserve">uestran </w:t>
      </w:r>
      <w:r w:rsidR="003035A8" w:rsidRPr="003E07B0">
        <w:rPr>
          <w:rFonts w:ascii="Arial" w:hAnsi="Arial" w:cs="Arial"/>
        </w:rPr>
        <w:t>el desempeño fiscal más sólido en el año 2017. En contraste, las jurisdicciones de Buenos Aires, Chubut, Jujuy, La Rioja y Salta</w:t>
      </w:r>
      <w:r w:rsidR="00AE4F79" w:rsidRPr="003E07B0">
        <w:rPr>
          <w:rFonts w:ascii="Arial" w:hAnsi="Arial" w:cs="Arial"/>
        </w:rPr>
        <w:t xml:space="preserve"> manif</w:t>
      </w:r>
      <w:r w:rsidR="00F74E22" w:rsidRPr="003E07B0">
        <w:rPr>
          <w:rFonts w:ascii="Arial" w:hAnsi="Arial" w:cs="Arial"/>
        </w:rPr>
        <w:t xml:space="preserve">estaron </w:t>
      </w:r>
      <w:r w:rsidR="00AE4F79" w:rsidRPr="003E07B0">
        <w:rPr>
          <w:rFonts w:ascii="Arial" w:hAnsi="Arial" w:cs="Arial"/>
        </w:rPr>
        <w:t xml:space="preserve">la </w:t>
      </w:r>
      <w:r w:rsidR="009151BF" w:rsidRPr="003E07B0">
        <w:rPr>
          <w:rFonts w:ascii="Arial" w:hAnsi="Arial" w:cs="Arial"/>
        </w:rPr>
        <w:t>menor fortaleza fiscal</w:t>
      </w:r>
      <w:r w:rsidR="00F74E22" w:rsidRPr="003E07B0">
        <w:rPr>
          <w:rFonts w:ascii="Arial" w:hAnsi="Arial" w:cs="Arial"/>
        </w:rPr>
        <w:t>,</w:t>
      </w:r>
      <w:r w:rsidR="001D460F">
        <w:rPr>
          <w:rFonts w:ascii="Arial" w:hAnsi="Arial" w:cs="Arial"/>
        </w:rPr>
        <w:t xml:space="preserve"> </w:t>
      </w:r>
      <w:r w:rsidR="00F74E22" w:rsidRPr="003E07B0">
        <w:rPr>
          <w:rFonts w:ascii="Arial" w:hAnsi="Arial" w:cs="Arial"/>
        </w:rPr>
        <w:t xml:space="preserve">respecto del </w:t>
      </w:r>
      <w:r w:rsidR="00AE4F79" w:rsidRPr="003E07B0">
        <w:rPr>
          <w:rFonts w:ascii="Arial" w:hAnsi="Arial" w:cs="Arial"/>
        </w:rPr>
        <w:t xml:space="preserve">conjunto de provincias. </w:t>
      </w:r>
    </w:p>
    <w:p w:rsidR="00B50EA9" w:rsidRDefault="00B50EA9" w:rsidP="00B50EA9">
      <w:pPr>
        <w:jc w:val="both"/>
        <w:rPr>
          <w:rFonts w:ascii="Times New Roman" w:hAnsi="Times New Roman" w:cs="Times New Roman"/>
        </w:rPr>
      </w:pPr>
    </w:p>
    <w:p w:rsidR="00B50EA9" w:rsidRPr="003E07B0" w:rsidRDefault="00B50EA9" w:rsidP="00B50EA9">
      <w:pPr>
        <w:jc w:val="both"/>
        <w:rPr>
          <w:rFonts w:ascii="Arial" w:hAnsi="Arial" w:cs="Arial"/>
        </w:rPr>
      </w:pPr>
      <w:r w:rsidRPr="003E07B0">
        <w:rPr>
          <w:rFonts w:ascii="Arial" w:hAnsi="Arial" w:cs="Arial"/>
        </w:rPr>
        <w:t xml:space="preserve">Palabras clave: vulnerabilidad fiscal, </w:t>
      </w:r>
      <w:r w:rsidR="00F74E22" w:rsidRPr="003E07B0">
        <w:rPr>
          <w:rFonts w:ascii="Arial" w:hAnsi="Arial" w:cs="Arial"/>
        </w:rPr>
        <w:t>provincias</w:t>
      </w:r>
      <w:r w:rsidR="002C5CC3" w:rsidRPr="003E07B0">
        <w:rPr>
          <w:rFonts w:ascii="Arial" w:hAnsi="Arial" w:cs="Arial"/>
        </w:rPr>
        <w:t xml:space="preserve">, </w:t>
      </w:r>
      <w:r w:rsidR="00F6795D" w:rsidRPr="003E07B0">
        <w:rPr>
          <w:rFonts w:ascii="Arial" w:hAnsi="Arial" w:cs="Arial"/>
        </w:rPr>
        <w:t>componentes principales</w:t>
      </w:r>
      <w:r w:rsidR="002C5CC3" w:rsidRPr="003E07B0">
        <w:rPr>
          <w:rFonts w:ascii="Arial" w:hAnsi="Arial" w:cs="Arial"/>
        </w:rPr>
        <w:t xml:space="preserve">. </w:t>
      </w:r>
    </w:p>
    <w:p w:rsidR="00B50EA9" w:rsidRPr="003E07B0" w:rsidRDefault="00B50EA9" w:rsidP="00B50EA9">
      <w:pPr>
        <w:jc w:val="both"/>
        <w:rPr>
          <w:rFonts w:ascii="Arial" w:hAnsi="Arial" w:cs="Arial"/>
        </w:rPr>
      </w:pPr>
      <w:r w:rsidRPr="003E07B0">
        <w:rPr>
          <w:rFonts w:ascii="Arial" w:hAnsi="Arial" w:cs="Arial"/>
        </w:rPr>
        <w:t>Clasificación JEL: H7</w:t>
      </w:r>
    </w:p>
    <w:p w:rsidR="00575AC5" w:rsidRDefault="00575AC5" w:rsidP="003A488D">
      <w:pPr>
        <w:jc w:val="both"/>
        <w:rPr>
          <w:rFonts w:ascii="Times New Roman" w:hAnsi="Times New Roman" w:cs="Times New Roman"/>
        </w:rPr>
      </w:pPr>
    </w:p>
    <w:p w:rsidR="00575AC5" w:rsidRDefault="00575AC5" w:rsidP="003A488D">
      <w:pPr>
        <w:jc w:val="both"/>
        <w:rPr>
          <w:rFonts w:ascii="Times New Roman" w:hAnsi="Times New Roman" w:cs="Times New Roman"/>
        </w:rPr>
      </w:pPr>
    </w:p>
    <w:p w:rsidR="00575AC5" w:rsidRDefault="00575AC5" w:rsidP="003A488D">
      <w:pPr>
        <w:jc w:val="both"/>
        <w:rPr>
          <w:rFonts w:ascii="Times New Roman" w:hAnsi="Times New Roman" w:cs="Times New Roman"/>
        </w:rPr>
      </w:pPr>
    </w:p>
    <w:p w:rsidR="00575AC5" w:rsidRDefault="00575AC5" w:rsidP="003A488D">
      <w:pPr>
        <w:jc w:val="both"/>
        <w:rPr>
          <w:rFonts w:ascii="Times New Roman" w:hAnsi="Times New Roman" w:cs="Times New Roman"/>
        </w:rPr>
      </w:pPr>
    </w:p>
    <w:p w:rsidR="00FE2082" w:rsidRDefault="00FE2082" w:rsidP="003A488D">
      <w:pPr>
        <w:jc w:val="both"/>
        <w:rPr>
          <w:rFonts w:ascii="Times New Roman" w:hAnsi="Times New Roman" w:cs="Times New Roman"/>
        </w:rPr>
      </w:pPr>
    </w:p>
    <w:p w:rsidR="00575AC5" w:rsidRPr="003E07B0" w:rsidRDefault="00575AC5" w:rsidP="00EF5145">
      <w:pPr>
        <w:pStyle w:val="Ttulo1"/>
        <w:numPr>
          <w:ilvl w:val="0"/>
          <w:numId w:val="5"/>
        </w:numPr>
        <w:rPr>
          <w:rFonts w:ascii="Arial" w:hAnsi="Arial" w:cs="Arial"/>
          <w:b/>
          <w:color w:val="auto"/>
          <w:sz w:val="22"/>
          <w:szCs w:val="22"/>
        </w:rPr>
      </w:pPr>
      <w:r w:rsidRPr="003E07B0">
        <w:rPr>
          <w:rFonts w:ascii="Arial" w:hAnsi="Arial" w:cs="Arial"/>
          <w:b/>
          <w:color w:val="auto"/>
          <w:sz w:val="22"/>
          <w:szCs w:val="22"/>
        </w:rPr>
        <w:lastRenderedPageBreak/>
        <w:t xml:space="preserve">Introducción </w:t>
      </w:r>
    </w:p>
    <w:p w:rsidR="00575AC5" w:rsidRDefault="00575AC5" w:rsidP="00575AC5">
      <w:pPr>
        <w:rPr>
          <w:rFonts w:ascii="Times New Roman" w:hAnsi="Times New Roman" w:cs="Times New Roman"/>
          <w:b/>
        </w:rPr>
      </w:pPr>
    </w:p>
    <w:p w:rsidR="00B66576" w:rsidRPr="003E07B0" w:rsidRDefault="004E14CB" w:rsidP="003E07B0">
      <w:pPr>
        <w:spacing w:after="0" w:line="360" w:lineRule="auto"/>
        <w:jc w:val="both"/>
        <w:rPr>
          <w:rFonts w:ascii="Arial" w:hAnsi="Arial" w:cs="Times New Roman"/>
        </w:rPr>
      </w:pPr>
      <w:r w:rsidRPr="003E07B0">
        <w:rPr>
          <w:rFonts w:ascii="Arial" w:hAnsi="Arial" w:cs="Times New Roman"/>
        </w:rPr>
        <w:t xml:space="preserve">Los gobiernos de nivel intermedio (provincias) </w:t>
      </w:r>
      <w:r w:rsidR="00490E0C" w:rsidRPr="003E07B0">
        <w:rPr>
          <w:rFonts w:ascii="Arial" w:hAnsi="Arial" w:cs="Times New Roman"/>
        </w:rPr>
        <w:t>constituyen</w:t>
      </w:r>
      <w:r w:rsidRPr="003E07B0">
        <w:rPr>
          <w:rFonts w:ascii="Arial" w:hAnsi="Arial" w:cs="Times New Roman"/>
        </w:rPr>
        <w:t xml:space="preserve"> actores fiscales de relevancia </w:t>
      </w:r>
      <w:r w:rsidR="00D90A39" w:rsidRPr="003E07B0">
        <w:rPr>
          <w:rFonts w:ascii="Arial" w:hAnsi="Arial" w:cs="Times New Roman"/>
        </w:rPr>
        <w:t>en</w:t>
      </w:r>
      <w:r w:rsidRPr="003E07B0">
        <w:rPr>
          <w:rFonts w:ascii="Arial" w:hAnsi="Arial" w:cs="Times New Roman"/>
        </w:rPr>
        <w:t xml:space="preserve"> Argentina. Tienen a su cargo importantes funciones (educación inicial, primaria, secundaria e incluso terciaria, salud pública, seguridad, vivienda, asistencia social, </w:t>
      </w:r>
      <w:r w:rsidR="00D90A39" w:rsidRPr="003E07B0">
        <w:rPr>
          <w:rFonts w:ascii="Arial" w:hAnsi="Arial" w:cs="Times New Roman"/>
        </w:rPr>
        <w:t>entre otras</w:t>
      </w:r>
      <w:r w:rsidRPr="003E07B0">
        <w:rPr>
          <w:rFonts w:ascii="Arial" w:hAnsi="Arial" w:cs="Times New Roman"/>
        </w:rPr>
        <w:t>), lo cual se refleja en su participación en el gasto consolidado del S</w:t>
      </w:r>
      <w:r w:rsidR="00C80419" w:rsidRPr="003E07B0">
        <w:rPr>
          <w:rFonts w:ascii="Arial" w:hAnsi="Arial" w:cs="Times New Roman"/>
        </w:rPr>
        <w:t>ector Público A</w:t>
      </w:r>
      <w:r w:rsidRPr="003E07B0">
        <w:rPr>
          <w:rFonts w:ascii="Arial" w:hAnsi="Arial" w:cs="Times New Roman"/>
        </w:rPr>
        <w:t>rgentino (</w:t>
      </w:r>
      <w:r w:rsidR="00C80419" w:rsidRPr="003E07B0">
        <w:rPr>
          <w:rFonts w:ascii="Arial" w:hAnsi="Arial" w:cs="Times New Roman"/>
        </w:rPr>
        <w:t>32</w:t>
      </w:r>
      <w:r w:rsidRPr="003E07B0">
        <w:rPr>
          <w:rFonts w:ascii="Arial" w:hAnsi="Arial" w:cs="Times New Roman"/>
        </w:rPr>
        <w:t>% en el año 2016, según información oficial provista por el Ministerio de Hacienda).</w:t>
      </w:r>
    </w:p>
    <w:p w:rsidR="00A13B3B" w:rsidRDefault="004E14CB" w:rsidP="003E07B0">
      <w:pPr>
        <w:spacing w:after="0" w:line="360" w:lineRule="auto"/>
        <w:jc w:val="both"/>
        <w:rPr>
          <w:rFonts w:ascii="Arial" w:hAnsi="Arial" w:cs="Times New Roman"/>
          <w:color w:val="000000" w:themeColor="text1"/>
        </w:rPr>
      </w:pPr>
      <w:r w:rsidRPr="003E07B0">
        <w:rPr>
          <w:rFonts w:ascii="Arial" w:hAnsi="Arial" w:cs="Times New Roman"/>
          <w:color w:val="000000" w:themeColor="text1"/>
        </w:rPr>
        <w:t xml:space="preserve">En ciertos períodos, las provincias han resultado factor de inestabilidad fiscal, como durante buena parte de la década del ochenta, en la segunda mitad de los noventa, e inicios del actual milenio. </w:t>
      </w:r>
      <w:r w:rsidR="00EB7A72" w:rsidRPr="003E07B0">
        <w:rPr>
          <w:rFonts w:ascii="Arial" w:hAnsi="Arial" w:cs="Times New Roman"/>
          <w:color w:val="000000" w:themeColor="text1"/>
        </w:rPr>
        <w:t xml:space="preserve">Efectivamente, el déficit financiero del consolidado provincial se situó en niveles superiores a 1% del PIB en el lapso 1986-1990 (culminando en 1,5%) y en 1998-2001 (alcanzando el máximo nivel </w:t>
      </w:r>
      <w:r w:rsidR="00571CD1" w:rsidRPr="003E07B0">
        <w:rPr>
          <w:rFonts w:ascii="Arial" w:hAnsi="Arial" w:cs="Times New Roman"/>
          <w:color w:val="000000" w:themeColor="text1"/>
        </w:rPr>
        <w:t xml:space="preserve">en </w:t>
      </w:r>
      <w:r w:rsidR="00BF1325" w:rsidRPr="003E07B0">
        <w:rPr>
          <w:rFonts w:ascii="Arial" w:hAnsi="Arial" w:cs="Times New Roman"/>
          <w:color w:val="000000" w:themeColor="text1"/>
        </w:rPr>
        <w:t>este último período</w:t>
      </w:r>
      <w:r w:rsidR="00571CD1" w:rsidRPr="003E07B0">
        <w:rPr>
          <w:rFonts w:ascii="Arial" w:hAnsi="Arial" w:cs="Times New Roman"/>
          <w:color w:val="000000" w:themeColor="text1"/>
        </w:rPr>
        <w:t xml:space="preserve"> con</w:t>
      </w:r>
      <w:r w:rsidR="00BF1325" w:rsidRPr="003E07B0">
        <w:rPr>
          <w:rFonts w:ascii="Arial" w:hAnsi="Arial" w:cs="Times New Roman"/>
          <w:color w:val="000000" w:themeColor="text1"/>
        </w:rPr>
        <w:t xml:space="preserve"> una magnitud superiora</w:t>
      </w:r>
      <w:r w:rsidR="00571CD1" w:rsidRPr="003E07B0">
        <w:rPr>
          <w:rFonts w:ascii="Arial" w:hAnsi="Arial" w:cs="Times New Roman"/>
          <w:color w:val="000000" w:themeColor="text1"/>
        </w:rPr>
        <w:t xml:space="preserve"> 2 puntos porcentuales del P</w:t>
      </w:r>
      <w:r w:rsidR="00B66576" w:rsidRPr="003E07B0">
        <w:rPr>
          <w:rFonts w:ascii="Arial" w:hAnsi="Arial" w:cs="Times New Roman"/>
          <w:color w:val="000000" w:themeColor="text1"/>
        </w:rPr>
        <w:t>IB</w:t>
      </w:r>
      <w:r w:rsidR="00571CD1" w:rsidRPr="003E07B0">
        <w:rPr>
          <w:rFonts w:ascii="Arial" w:hAnsi="Arial" w:cs="Times New Roman"/>
          <w:color w:val="000000" w:themeColor="text1"/>
        </w:rPr>
        <w:t xml:space="preserve">). </w:t>
      </w:r>
      <w:r w:rsidR="001208C1" w:rsidRPr="003E07B0">
        <w:rPr>
          <w:rFonts w:ascii="Arial" w:hAnsi="Arial" w:cs="Times New Roman"/>
          <w:color w:val="000000" w:themeColor="text1"/>
        </w:rPr>
        <w:t xml:space="preserve">En el año 2017, esta variable se ubicó en un nivel de 0,8% del PIB, </w:t>
      </w:r>
      <w:r w:rsidR="00066DD6" w:rsidRPr="003E07B0">
        <w:rPr>
          <w:rFonts w:ascii="Arial" w:hAnsi="Arial" w:cs="Times New Roman"/>
          <w:color w:val="000000" w:themeColor="text1"/>
        </w:rPr>
        <w:t xml:space="preserve">ligeramente </w:t>
      </w:r>
      <w:r w:rsidR="001208C1" w:rsidRPr="003E07B0">
        <w:rPr>
          <w:rFonts w:ascii="Arial" w:hAnsi="Arial" w:cs="Times New Roman"/>
          <w:color w:val="000000" w:themeColor="text1"/>
        </w:rPr>
        <w:t>por encima del promedio</w:t>
      </w:r>
      <w:r w:rsidR="00066DD6" w:rsidRPr="003E07B0">
        <w:rPr>
          <w:rFonts w:ascii="Arial" w:hAnsi="Arial" w:cs="Times New Roman"/>
          <w:color w:val="000000" w:themeColor="text1"/>
        </w:rPr>
        <w:t xml:space="preserve"> del lapso considerado (-0,6%) y lejos del máximo superávit (logrado en el año 2005 y equivalente a un punto porcentual del Producto) y el máximo déficit (2,1% del PIB en 2001). </w:t>
      </w:r>
    </w:p>
    <w:p w:rsidR="00CB3BD2" w:rsidRPr="003E07B0" w:rsidRDefault="00CB3BD2" w:rsidP="003E07B0">
      <w:pPr>
        <w:spacing w:after="0" w:line="360" w:lineRule="auto"/>
        <w:jc w:val="both"/>
        <w:rPr>
          <w:rFonts w:ascii="Arial" w:hAnsi="Arial" w:cs="Times New Roman"/>
          <w:color w:val="000000" w:themeColor="text1"/>
        </w:rPr>
      </w:pPr>
    </w:p>
    <w:p w:rsidR="00A13B3B" w:rsidRPr="00CB3BD2" w:rsidRDefault="00A13B3B" w:rsidP="00A13B3B">
      <w:pPr>
        <w:spacing w:after="0" w:line="240" w:lineRule="auto"/>
        <w:jc w:val="center"/>
        <w:rPr>
          <w:rFonts w:ascii="Arial" w:hAnsi="Arial" w:cs="Arial"/>
          <w:color w:val="000000" w:themeColor="text1"/>
        </w:rPr>
      </w:pPr>
      <w:r w:rsidRPr="00CB3BD2">
        <w:rPr>
          <w:rFonts w:ascii="Arial" w:hAnsi="Arial" w:cs="Arial"/>
          <w:b/>
        </w:rPr>
        <w:t>Gráfico</w:t>
      </w:r>
      <w:r w:rsidR="00E17F18" w:rsidRPr="00CB3BD2">
        <w:rPr>
          <w:rFonts w:ascii="Arial" w:hAnsi="Arial" w:cs="Arial"/>
          <w:b/>
        </w:rPr>
        <w:fldChar w:fldCharType="begin"/>
      </w:r>
      <w:r w:rsidRPr="00CB3BD2">
        <w:rPr>
          <w:rFonts w:ascii="Arial" w:hAnsi="Arial" w:cs="Arial"/>
          <w:b/>
        </w:rPr>
        <w:instrText xml:space="preserve"> SEQ Ilustración \* ARABIC </w:instrText>
      </w:r>
      <w:r w:rsidR="00E17F18" w:rsidRPr="00CB3BD2">
        <w:rPr>
          <w:rFonts w:ascii="Arial" w:hAnsi="Arial" w:cs="Arial"/>
          <w:b/>
        </w:rPr>
        <w:fldChar w:fldCharType="separate"/>
      </w:r>
      <w:r w:rsidRPr="00CB3BD2">
        <w:rPr>
          <w:rFonts w:ascii="Arial" w:hAnsi="Arial" w:cs="Arial"/>
          <w:b/>
          <w:noProof/>
        </w:rPr>
        <w:t>1</w:t>
      </w:r>
      <w:r w:rsidR="00E17F18" w:rsidRPr="00CB3BD2">
        <w:rPr>
          <w:rFonts w:ascii="Arial" w:hAnsi="Arial" w:cs="Arial"/>
          <w:b/>
        </w:rPr>
        <w:fldChar w:fldCharType="end"/>
      </w:r>
      <w:r w:rsidRPr="00CB3BD2">
        <w:rPr>
          <w:rFonts w:ascii="Arial" w:hAnsi="Arial" w:cs="Arial"/>
          <w:b/>
        </w:rPr>
        <w:t xml:space="preserve">: </w:t>
      </w:r>
      <w:r w:rsidR="008F03CA">
        <w:rPr>
          <w:rFonts w:ascii="Arial" w:hAnsi="Arial" w:cs="Arial"/>
          <w:b/>
        </w:rPr>
        <w:t>Resultado</w:t>
      </w:r>
      <w:r w:rsidRPr="00CB3BD2">
        <w:rPr>
          <w:rFonts w:ascii="Arial" w:hAnsi="Arial" w:cs="Arial"/>
          <w:b/>
        </w:rPr>
        <w:t xml:space="preserve"> financiero del consolidado de provincias </w:t>
      </w:r>
    </w:p>
    <w:p w:rsidR="00A13B3B" w:rsidRDefault="00A13B3B" w:rsidP="00A13B3B">
      <w:pPr>
        <w:keepNext/>
        <w:spacing w:after="0" w:line="240" w:lineRule="auto"/>
        <w:jc w:val="center"/>
        <w:rPr>
          <w:rFonts w:ascii="Arial" w:hAnsi="Arial" w:cs="Arial"/>
        </w:rPr>
      </w:pPr>
      <w:r w:rsidRPr="00CB3BD2">
        <w:rPr>
          <w:rFonts w:ascii="Arial" w:hAnsi="Arial" w:cs="Arial"/>
        </w:rPr>
        <w:t>Período 1983-2017 - En porcentaje del PIB</w:t>
      </w:r>
    </w:p>
    <w:p w:rsidR="008F03CA" w:rsidRDefault="00B84006" w:rsidP="00A13B3B">
      <w:pPr>
        <w:keepNext/>
        <w:spacing w:after="0" w:line="240" w:lineRule="auto"/>
        <w:jc w:val="center"/>
      </w:pPr>
      <w:r w:rsidRPr="00B84006">
        <w:rPr>
          <w:noProof/>
        </w:rPr>
        <w:drawing>
          <wp:inline distT="0" distB="0" distL="0" distR="0">
            <wp:extent cx="4962525" cy="27336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733675"/>
                    </a:xfrm>
                    <a:prstGeom prst="rect">
                      <a:avLst/>
                    </a:prstGeom>
                    <a:noFill/>
                    <a:ln>
                      <a:noFill/>
                    </a:ln>
                  </pic:spPr>
                </pic:pic>
              </a:graphicData>
            </a:graphic>
          </wp:inline>
        </w:drawing>
      </w:r>
    </w:p>
    <w:p w:rsidR="00EB7A72" w:rsidRPr="00CB3BD2" w:rsidRDefault="00A13B3B" w:rsidP="00A13B3B">
      <w:pPr>
        <w:pStyle w:val="Epgrafe"/>
        <w:jc w:val="center"/>
        <w:rPr>
          <w:rFonts w:ascii="Arial" w:hAnsi="Arial" w:cs="Arial"/>
          <w:color w:val="000000" w:themeColor="text1"/>
        </w:rPr>
      </w:pPr>
      <w:r w:rsidRPr="00CB3BD2">
        <w:rPr>
          <w:rFonts w:ascii="Arial" w:hAnsi="Arial" w:cs="Arial"/>
          <w:color w:val="000000" w:themeColor="text1"/>
        </w:rPr>
        <w:t xml:space="preserve">Elaboración propia en base a DNCFP-Ministerio de Hacienda, INDEC y </w:t>
      </w:r>
      <w:r w:rsidR="002C5CC3" w:rsidRPr="00CB3BD2">
        <w:rPr>
          <w:rFonts w:ascii="Arial" w:hAnsi="Arial" w:cs="Arial"/>
          <w:color w:val="000000" w:themeColor="text1"/>
        </w:rPr>
        <w:t>Ferreres</w:t>
      </w:r>
      <w:r w:rsidR="0078032B">
        <w:rPr>
          <w:rFonts w:ascii="Arial" w:hAnsi="Arial" w:cs="Arial"/>
          <w:color w:val="000000" w:themeColor="text1"/>
        </w:rPr>
        <w:t xml:space="preserve"> </w:t>
      </w:r>
      <w:r w:rsidRPr="00CB3BD2">
        <w:rPr>
          <w:rFonts w:ascii="Arial" w:hAnsi="Arial" w:cs="Arial"/>
          <w:color w:val="000000" w:themeColor="text1"/>
        </w:rPr>
        <w:t>(2005)</w:t>
      </w:r>
    </w:p>
    <w:p w:rsidR="00A13B3B" w:rsidRPr="00A13B3B" w:rsidRDefault="00A13B3B" w:rsidP="00A13B3B"/>
    <w:p w:rsidR="00A13B3B" w:rsidRDefault="002E6A65" w:rsidP="00CB3BD2">
      <w:pPr>
        <w:spacing w:after="0" w:line="360" w:lineRule="auto"/>
        <w:jc w:val="both"/>
        <w:rPr>
          <w:rFonts w:ascii="Arial" w:hAnsi="Arial" w:cs="Arial"/>
          <w:color w:val="1F497D" w:themeColor="text2"/>
        </w:rPr>
      </w:pPr>
      <w:r w:rsidRPr="003E07B0">
        <w:rPr>
          <w:rFonts w:ascii="Arial" w:hAnsi="Arial" w:cs="Arial"/>
          <w:color w:val="000000" w:themeColor="text1"/>
        </w:rPr>
        <w:t>Si se analiza</w:t>
      </w:r>
      <w:r w:rsidR="001D460F">
        <w:rPr>
          <w:rFonts w:ascii="Arial" w:hAnsi="Arial" w:cs="Arial"/>
          <w:color w:val="000000" w:themeColor="text1"/>
        </w:rPr>
        <w:t xml:space="preserve"> l</w:t>
      </w:r>
      <w:r w:rsidR="00B66576" w:rsidRPr="003E07B0">
        <w:rPr>
          <w:rFonts w:ascii="Arial" w:hAnsi="Arial" w:cs="Arial"/>
          <w:color w:val="000000" w:themeColor="text1"/>
        </w:rPr>
        <w:t xml:space="preserve">a cantidad de gobiernos provinciales deficitarios (desequilibrio corriente y financiero) en </w:t>
      </w:r>
      <w:r w:rsidR="001F5D10" w:rsidRPr="003E07B0">
        <w:rPr>
          <w:rFonts w:ascii="Arial" w:hAnsi="Arial" w:cs="Arial"/>
          <w:color w:val="000000" w:themeColor="text1"/>
        </w:rPr>
        <w:t>el período 1983</w:t>
      </w:r>
      <w:r w:rsidRPr="003E07B0">
        <w:rPr>
          <w:rFonts w:ascii="Arial" w:hAnsi="Arial" w:cs="Arial"/>
          <w:color w:val="000000" w:themeColor="text1"/>
        </w:rPr>
        <w:t xml:space="preserve"> – </w:t>
      </w:r>
      <w:r w:rsidR="001F5D10" w:rsidRPr="003E07B0">
        <w:rPr>
          <w:rFonts w:ascii="Arial" w:hAnsi="Arial" w:cs="Arial"/>
          <w:color w:val="000000" w:themeColor="text1"/>
        </w:rPr>
        <w:t>2017</w:t>
      </w:r>
      <w:r w:rsidRPr="003E07B0">
        <w:rPr>
          <w:rFonts w:ascii="Arial" w:hAnsi="Arial" w:cs="Arial"/>
          <w:color w:val="000000" w:themeColor="text1"/>
        </w:rPr>
        <w:t>,</w:t>
      </w:r>
      <w:r w:rsidR="00D62659" w:rsidRPr="003E07B0">
        <w:rPr>
          <w:rFonts w:ascii="Arial" w:hAnsi="Arial" w:cs="Arial"/>
          <w:color w:val="000000" w:themeColor="text1"/>
        </w:rPr>
        <w:t xml:space="preserve"> puede observarse en </w:t>
      </w:r>
      <w:r w:rsidR="00B66576" w:rsidRPr="003E07B0">
        <w:rPr>
          <w:rFonts w:ascii="Arial" w:hAnsi="Arial" w:cs="Arial"/>
          <w:color w:val="000000" w:themeColor="text1"/>
        </w:rPr>
        <w:t xml:space="preserve">los </w:t>
      </w:r>
      <w:r w:rsidR="00D62659" w:rsidRPr="003E07B0">
        <w:rPr>
          <w:rFonts w:ascii="Arial" w:hAnsi="Arial" w:cs="Arial"/>
          <w:color w:val="000000" w:themeColor="text1"/>
        </w:rPr>
        <w:t>gráfico</w:t>
      </w:r>
      <w:r w:rsidR="00B66576" w:rsidRPr="003E07B0">
        <w:rPr>
          <w:rFonts w:ascii="Arial" w:hAnsi="Arial" w:cs="Arial"/>
          <w:color w:val="000000" w:themeColor="text1"/>
        </w:rPr>
        <w:t>s</w:t>
      </w:r>
      <w:r w:rsidR="00D62659" w:rsidRPr="003E07B0">
        <w:rPr>
          <w:rFonts w:ascii="Arial" w:hAnsi="Arial" w:cs="Arial"/>
          <w:color w:val="000000" w:themeColor="text1"/>
        </w:rPr>
        <w:t xml:space="preserve"> que sigue</w:t>
      </w:r>
      <w:r w:rsidR="00B66576" w:rsidRPr="003E07B0">
        <w:rPr>
          <w:rFonts w:ascii="Arial" w:hAnsi="Arial" w:cs="Arial"/>
          <w:color w:val="000000" w:themeColor="text1"/>
        </w:rPr>
        <w:t>n</w:t>
      </w:r>
      <w:r w:rsidR="00D62659" w:rsidRPr="003E07B0">
        <w:rPr>
          <w:rFonts w:ascii="Arial" w:hAnsi="Arial" w:cs="Arial"/>
          <w:color w:val="000000" w:themeColor="text1"/>
        </w:rPr>
        <w:t xml:space="preserve"> que</w:t>
      </w:r>
      <w:r w:rsidR="00B66576" w:rsidRPr="003E07B0">
        <w:rPr>
          <w:rFonts w:ascii="Arial" w:hAnsi="Arial" w:cs="Arial"/>
          <w:color w:val="000000" w:themeColor="text1"/>
        </w:rPr>
        <w:t>,</w:t>
      </w:r>
      <w:r w:rsidR="001D460F">
        <w:rPr>
          <w:rFonts w:ascii="Arial" w:hAnsi="Arial" w:cs="Arial"/>
          <w:color w:val="000000" w:themeColor="text1"/>
        </w:rPr>
        <w:t xml:space="preserve"> </w:t>
      </w:r>
      <w:r w:rsidR="00B66576" w:rsidRPr="003E07B0">
        <w:rPr>
          <w:rFonts w:ascii="Arial" w:hAnsi="Arial" w:cs="Arial"/>
          <w:color w:val="000000" w:themeColor="text1"/>
        </w:rPr>
        <w:t xml:space="preserve">por lo general, </w:t>
      </w:r>
      <w:r w:rsidR="00DF4276" w:rsidRPr="003E07B0">
        <w:rPr>
          <w:rFonts w:ascii="Arial" w:hAnsi="Arial" w:cs="Arial"/>
          <w:color w:val="000000" w:themeColor="text1"/>
        </w:rPr>
        <w:t>l</w:t>
      </w:r>
      <w:r w:rsidR="00B66576" w:rsidRPr="003E07B0">
        <w:rPr>
          <w:rFonts w:ascii="Arial" w:hAnsi="Arial" w:cs="Arial"/>
          <w:color w:val="000000" w:themeColor="text1"/>
        </w:rPr>
        <w:t xml:space="preserve">a mayor cantidad de </w:t>
      </w:r>
      <w:r w:rsidR="00DF4276" w:rsidRPr="003E07B0">
        <w:rPr>
          <w:rFonts w:ascii="Arial" w:hAnsi="Arial" w:cs="Arial"/>
          <w:color w:val="000000" w:themeColor="text1"/>
        </w:rPr>
        <w:t xml:space="preserve">provincias </w:t>
      </w:r>
      <w:r w:rsidR="00B66576" w:rsidRPr="003E07B0">
        <w:rPr>
          <w:rFonts w:ascii="Arial" w:hAnsi="Arial" w:cs="Arial"/>
          <w:color w:val="000000" w:themeColor="text1"/>
        </w:rPr>
        <w:t xml:space="preserve">deficitarias </w:t>
      </w:r>
      <w:r w:rsidR="00663B60" w:rsidRPr="003E07B0">
        <w:rPr>
          <w:rFonts w:ascii="Arial" w:hAnsi="Arial" w:cs="Arial"/>
          <w:color w:val="000000" w:themeColor="text1"/>
        </w:rPr>
        <w:t>coincidió</w:t>
      </w:r>
      <w:r w:rsidR="00DF4276" w:rsidRPr="003E07B0">
        <w:rPr>
          <w:rFonts w:ascii="Arial" w:hAnsi="Arial" w:cs="Arial"/>
          <w:color w:val="000000" w:themeColor="text1"/>
        </w:rPr>
        <w:t xml:space="preserve"> con años de crisis económicas originadas en factores locales o internacionales (1989-1990; 1995, 1999-2002). E</w:t>
      </w:r>
      <w:r w:rsidR="00D62659" w:rsidRPr="003E07B0">
        <w:rPr>
          <w:rFonts w:ascii="Arial" w:hAnsi="Arial" w:cs="Arial"/>
          <w:color w:val="000000" w:themeColor="text1"/>
        </w:rPr>
        <w:t xml:space="preserve">n </w:t>
      </w:r>
      <w:r w:rsidR="00961272" w:rsidRPr="003E07B0">
        <w:rPr>
          <w:rFonts w:ascii="Arial" w:hAnsi="Arial" w:cs="Arial"/>
          <w:color w:val="000000" w:themeColor="text1"/>
        </w:rPr>
        <w:t xml:space="preserve">el año 1990, 13 de 24 provincias </w:t>
      </w:r>
      <w:r w:rsidR="00D62659" w:rsidRPr="003E07B0">
        <w:rPr>
          <w:rFonts w:ascii="Arial" w:hAnsi="Arial" w:cs="Arial"/>
          <w:color w:val="000000" w:themeColor="text1"/>
        </w:rPr>
        <w:t xml:space="preserve">mostraron </w:t>
      </w:r>
      <w:r w:rsidR="00594004" w:rsidRPr="003E07B0">
        <w:rPr>
          <w:rFonts w:ascii="Arial" w:hAnsi="Arial" w:cs="Arial"/>
          <w:color w:val="000000" w:themeColor="text1"/>
        </w:rPr>
        <w:t xml:space="preserve">resultado corriente deficitario, y todas </w:t>
      </w:r>
      <w:r w:rsidR="00D62659" w:rsidRPr="003E07B0">
        <w:rPr>
          <w:rFonts w:ascii="Arial" w:hAnsi="Arial" w:cs="Arial"/>
          <w:color w:val="000000" w:themeColor="text1"/>
        </w:rPr>
        <w:t xml:space="preserve">ellas </w:t>
      </w:r>
      <w:r w:rsidR="00594004" w:rsidRPr="003E07B0">
        <w:rPr>
          <w:rFonts w:ascii="Arial" w:hAnsi="Arial" w:cs="Arial"/>
          <w:color w:val="000000" w:themeColor="text1"/>
        </w:rPr>
        <w:lastRenderedPageBreak/>
        <w:t>déficit financiero. Durante el año 2001, como era de esperar, 17 de 24 provincias evidenciaron resultado corriente negativo, y todas ellas déficit financiero.</w:t>
      </w:r>
      <w:r w:rsidR="00B66576" w:rsidRPr="003E07B0">
        <w:rPr>
          <w:rFonts w:ascii="Arial" w:hAnsi="Arial" w:cs="Arial"/>
          <w:color w:val="000000" w:themeColor="text1"/>
        </w:rPr>
        <w:t xml:space="preserve"> E</w:t>
      </w:r>
      <w:r w:rsidR="00047E71" w:rsidRPr="003E07B0">
        <w:rPr>
          <w:rFonts w:ascii="Arial" w:hAnsi="Arial" w:cs="Arial"/>
          <w:color w:val="000000" w:themeColor="text1"/>
        </w:rPr>
        <w:t xml:space="preserve">n el año 2004, ninguna provincia se encontró con </w:t>
      </w:r>
      <w:r w:rsidR="00B66576" w:rsidRPr="003E07B0">
        <w:rPr>
          <w:rFonts w:ascii="Arial" w:hAnsi="Arial" w:cs="Arial"/>
          <w:color w:val="000000" w:themeColor="text1"/>
        </w:rPr>
        <w:t xml:space="preserve">déficit </w:t>
      </w:r>
      <w:r w:rsidR="00047E71" w:rsidRPr="003E07B0">
        <w:rPr>
          <w:rFonts w:ascii="Arial" w:hAnsi="Arial" w:cs="Arial"/>
          <w:color w:val="000000" w:themeColor="text1"/>
        </w:rPr>
        <w:t xml:space="preserve">(único año de la serie en que ninguna provincia tuvo déficit corriente ni financiero). </w:t>
      </w:r>
      <w:r w:rsidR="00B66576" w:rsidRPr="003E07B0">
        <w:rPr>
          <w:rFonts w:ascii="Arial" w:hAnsi="Arial" w:cs="Arial"/>
          <w:color w:val="000000" w:themeColor="text1"/>
        </w:rPr>
        <w:t xml:space="preserve">Ello </w:t>
      </w:r>
      <w:r w:rsidR="00DF4276" w:rsidRPr="003E07B0">
        <w:rPr>
          <w:rFonts w:ascii="Arial" w:hAnsi="Arial" w:cs="Arial"/>
          <w:color w:val="000000" w:themeColor="text1"/>
        </w:rPr>
        <w:t xml:space="preserve">no se originó en un proceso de ajuste fiscal deliberado, sino que resultó producto </w:t>
      </w:r>
      <w:r w:rsidR="00B66576" w:rsidRPr="003E07B0">
        <w:rPr>
          <w:rFonts w:ascii="Arial" w:hAnsi="Arial" w:cs="Arial"/>
          <w:color w:val="000000" w:themeColor="text1"/>
        </w:rPr>
        <w:t xml:space="preserve">indirecto </w:t>
      </w:r>
      <w:r w:rsidR="00DF4276" w:rsidRPr="003E07B0">
        <w:rPr>
          <w:rFonts w:ascii="Arial" w:hAnsi="Arial" w:cs="Arial"/>
          <w:color w:val="000000" w:themeColor="text1"/>
        </w:rPr>
        <w:t xml:space="preserve">de los efectos de la fuerte devaluación del año 2002. </w:t>
      </w:r>
      <w:r w:rsidR="007A061A" w:rsidRPr="003E07B0">
        <w:rPr>
          <w:rFonts w:ascii="Arial" w:hAnsi="Arial" w:cs="Arial"/>
          <w:color w:val="000000" w:themeColor="text1"/>
        </w:rPr>
        <w:t>En 2016 se incrementó en 7 la cantidad de provincias con resultado corriente negativo (</w:t>
      </w:r>
      <w:r w:rsidR="00DF4276" w:rsidRPr="003E07B0">
        <w:rPr>
          <w:rFonts w:ascii="Arial" w:hAnsi="Arial" w:cs="Arial"/>
          <w:color w:val="000000" w:themeColor="text1"/>
        </w:rPr>
        <w:t xml:space="preserve">pasó </w:t>
      </w:r>
      <w:r w:rsidR="007A061A" w:rsidRPr="003E07B0">
        <w:rPr>
          <w:rFonts w:ascii="Arial" w:hAnsi="Arial" w:cs="Arial"/>
          <w:color w:val="000000" w:themeColor="text1"/>
        </w:rPr>
        <w:t>de 6 a 13), y se mantuvo en 17 la cantidad de provincias con déficit financiero.</w:t>
      </w:r>
      <w:r w:rsidR="001D460F">
        <w:rPr>
          <w:rFonts w:ascii="Arial" w:hAnsi="Arial" w:cs="Arial"/>
          <w:color w:val="000000" w:themeColor="text1"/>
        </w:rPr>
        <w:t xml:space="preserve"> </w:t>
      </w:r>
      <w:r w:rsidR="00D62659" w:rsidRPr="003E07B0">
        <w:rPr>
          <w:rFonts w:ascii="Arial" w:hAnsi="Arial" w:cs="Arial"/>
          <w:color w:val="000000" w:themeColor="text1"/>
        </w:rPr>
        <w:t xml:space="preserve">En el </w:t>
      </w:r>
      <w:r w:rsidR="0075336C" w:rsidRPr="003E07B0">
        <w:rPr>
          <w:rFonts w:ascii="Arial" w:hAnsi="Arial" w:cs="Arial"/>
          <w:color w:val="000000" w:themeColor="text1"/>
        </w:rPr>
        <w:t>año 2017,</w:t>
      </w:r>
      <w:r w:rsidR="00D62659" w:rsidRPr="003E07B0">
        <w:rPr>
          <w:rFonts w:ascii="Arial" w:hAnsi="Arial" w:cs="Arial"/>
          <w:color w:val="000000" w:themeColor="text1"/>
        </w:rPr>
        <w:t xml:space="preserve"> fueron </w:t>
      </w:r>
      <w:r w:rsidR="0075336C" w:rsidRPr="003E07B0">
        <w:rPr>
          <w:rFonts w:ascii="Arial" w:hAnsi="Arial" w:cs="Arial"/>
          <w:color w:val="000000" w:themeColor="text1"/>
        </w:rPr>
        <w:t>9 las provincias con déficit corrie</w:t>
      </w:r>
      <w:r w:rsidR="00710B84" w:rsidRPr="003E07B0">
        <w:rPr>
          <w:rFonts w:ascii="Arial" w:hAnsi="Arial" w:cs="Arial"/>
          <w:color w:val="000000" w:themeColor="text1"/>
        </w:rPr>
        <w:t>nte y 21</w:t>
      </w:r>
      <w:r w:rsidR="00D62659" w:rsidRPr="003E07B0">
        <w:rPr>
          <w:rFonts w:ascii="Arial" w:hAnsi="Arial" w:cs="Arial"/>
          <w:color w:val="000000" w:themeColor="text1"/>
        </w:rPr>
        <w:t xml:space="preserve">las que evidenciaron </w:t>
      </w:r>
      <w:r w:rsidR="0075336C" w:rsidRPr="003E07B0">
        <w:rPr>
          <w:rFonts w:ascii="Arial" w:hAnsi="Arial" w:cs="Arial"/>
          <w:color w:val="000000" w:themeColor="text1"/>
        </w:rPr>
        <w:t>r</w:t>
      </w:r>
      <w:r w:rsidR="00710B84" w:rsidRPr="003E07B0">
        <w:rPr>
          <w:rFonts w:ascii="Arial" w:hAnsi="Arial" w:cs="Arial"/>
          <w:color w:val="000000" w:themeColor="text1"/>
        </w:rPr>
        <w:t>esultado financiero negativo</w:t>
      </w:r>
      <w:r w:rsidR="0075336C" w:rsidRPr="003E07B0">
        <w:rPr>
          <w:rFonts w:ascii="Arial" w:hAnsi="Arial" w:cs="Arial"/>
          <w:color w:val="000000" w:themeColor="text1"/>
        </w:rPr>
        <w:t>.</w:t>
      </w:r>
      <w:r w:rsidR="00DF4276" w:rsidRPr="003E07B0">
        <w:rPr>
          <w:rFonts w:ascii="Arial" w:hAnsi="Arial" w:cs="Arial"/>
          <w:color w:val="000000" w:themeColor="text1"/>
        </w:rPr>
        <w:t xml:space="preserve"> Esto es, e</w:t>
      </w:r>
      <w:r w:rsidR="00977B41" w:rsidRPr="003E07B0">
        <w:rPr>
          <w:rFonts w:ascii="Arial" w:hAnsi="Arial" w:cs="Arial"/>
          <w:color w:val="000000" w:themeColor="text1"/>
        </w:rPr>
        <w:t xml:space="preserve">l año </w:t>
      </w:r>
      <w:r w:rsidR="00DF4276" w:rsidRPr="003E07B0">
        <w:rPr>
          <w:rFonts w:ascii="Arial" w:hAnsi="Arial" w:cs="Arial"/>
          <w:color w:val="000000" w:themeColor="text1"/>
        </w:rPr>
        <w:t xml:space="preserve">2017 </w:t>
      </w:r>
      <w:r w:rsidR="00B66576" w:rsidRPr="003E07B0">
        <w:rPr>
          <w:rFonts w:ascii="Arial" w:hAnsi="Arial" w:cs="Arial"/>
          <w:color w:val="000000" w:themeColor="text1"/>
        </w:rPr>
        <w:t>se ubica entre los 10</w:t>
      </w:r>
      <w:r w:rsidR="00977B41" w:rsidRPr="003E07B0">
        <w:rPr>
          <w:rFonts w:ascii="Arial" w:hAnsi="Arial" w:cs="Arial"/>
          <w:color w:val="000000" w:themeColor="text1"/>
        </w:rPr>
        <w:t>,</w:t>
      </w:r>
      <w:r w:rsidR="00C0704A">
        <w:rPr>
          <w:rFonts w:ascii="Arial" w:hAnsi="Arial" w:cs="Arial"/>
          <w:color w:val="000000" w:themeColor="text1"/>
        </w:rPr>
        <w:t xml:space="preserve"> </w:t>
      </w:r>
      <w:r w:rsidR="00977B41" w:rsidRPr="003E07B0">
        <w:rPr>
          <w:rFonts w:ascii="Arial" w:hAnsi="Arial" w:cs="Arial"/>
          <w:color w:val="000000" w:themeColor="text1"/>
        </w:rPr>
        <w:t>sobre</w:t>
      </w:r>
      <w:r w:rsidR="00B66576" w:rsidRPr="003E07B0">
        <w:rPr>
          <w:rFonts w:ascii="Arial" w:hAnsi="Arial" w:cs="Arial"/>
          <w:color w:val="000000" w:themeColor="text1"/>
        </w:rPr>
        <w:t xml:space="preserve"> los últimos</w:t>
      </w:r>
      <w:r w:rsidR="00977B41" w:rsidRPr="003E07B0">
        <w:rPr>
          <w:rFonts w:ascii="Arial" w:hAnsi="Arial" w:cs="Arial"/>
          <w:color w:val="000000" w:themeColor="text1"/>
        </w:rPr>
        <w:t xml:space="preserve"> 35</w:t>
      </w:r>
      <w:r w:rsidR="00C0704A">
        <w:rPr>
          <w:rFonts w:ascii="Arial" w:hAnsi="Arial" w:cs="Arial"/>
          <w:color w:val="000000" w:themeColor="text1"/>
        </w:rPr>
        <w:t xml:space="preserve"> </w:t>
      </w:r>
      <w:r w:rsidR="00977B41" w:rsidRPr="003E07B0">
        <w:rPr>
          <w:rFonts w:ascii="Arial" w:hAnsi="Arial" w:cs="Arial"/>
          <w:color w:val="000000" w:themeColor="text1"/>
        </w:rPr>
        <w:t>a</w:t>
      </w:r>
      <w:r w:rsidR="00B66576" w:rsidRPr="003E07B0">
        <w:rPr>
          <w:rFonts w:ascii="Arial" w:hAnsi="Arial" w:cs="Arial"/>
          <w:color w:val="000000" w:themeColor="text1"/>
        </w:rPr>
        <w:t>ños, con mayor cantidad de provincias deficitarias</w:t>
      </w:r>
      <w:r w:rsidR="00DF4276" w:rsidRPr="003E07B0">
        <w:rPr>
          <w:rFonts w:ascii="Arial" w:hAnsi="Arial" w:cs="Arial"/>
          <w:color w:val="000000" w:themeColor="text1"/>
        </w:rPr>
        <w:t xml:space="preserve">. </w:t>
      </w:r>
      <w:r w:rsidR="00977B41" w:rsidRPr="003E07B0">
        <w:rPr>
          <w:rFonts w:ascii="Arial" w:hAnsi="Arial" w:cs="Arial"/>
          <w:color w:val="000000" w:themeColor="text1"/>
        </w:rPr>
        <w:t xml:space="preserve">La evolución entre </w:t>
      </w:r>
      <w:r w:rsidR="00DF4276" w:rsidRPr="003E07B0">
        <w:rPr>
          <w:rFonts w:ascii="Arial" w:hAnsi="Arial" w:cs="Arial"/>
          <w:color w:val="000000" w:themeColor="text1"/>
        </w:rPr>
        <w:t xml:space="preserve">2016 y 2017, </w:t>
      </w:r>
      <w:r w:rsidR="00977B41" w:rsidRPr="003E07B0">
        <w:rPr>
          <w:rFonts w:ascii="Arial" w:hAnsi="Arial" w:cs="Arial"/>
          <w:color w:val="000000" w:themeColor="text1"/>
        </w:rPr>
        <w:t>en que hay más provincias con déficit financiero, pero menos jurisdicciones con déficit corriente, simultáneamente a</w:t>
      </w:r>
      <w:r w:rsidR="00DF4276" w:rsidRPr="003E07B0">
        <w:rPr>
          <w:rFonts w:ascii="Arial" w:hAnsi="Arial" w:cs="Arial"/>
          <w:color w:val="000000" w:themeColor="text1"/>
        </w:rPr>
        <w:t xml:space="preserve">l regreso al financiamiento internacional para el gobierno nacional y los provinciales, </w:t>
      </w:r>
      <w:r w:rsidR="00977B41" w:rsidRPr="003E07B0">
        <w:rPr>
          <w:rFonts w:ascii="Arial" w:hAnsi="Arial" w:cs="Arial"/>
          <w:color w:val="000000" w:themeColor="text1"/>
        </w:rPr>
        <w:t xml:space="preserve">evidencian la necesidad de </w:t>
      </w:r>
      <w:r w:rsidR="00DF4276" w:rsidRPr="003E07B0">
        <w:rPr>
          <w:rFonts w:ascii="Arial" w:hAnsi="Arial" w:cs="Arial"/>
          <w:color w:val="000000" w:themeColor="text1"/>
        </w:rPr>
        <w:t xml:space="preserve">seguir nuevamente con </w:t>
      </w:r>
      <w:r w:rsidR="00977B41" w:rsidRPr="003E07B0">
        <w:rPr>
          <w:rFonts w:ascii="Arial" w:hAnsi="Arial" w:cs="Arial"/>
          <w:color w:val="000000" w:themeColor="text1"/>
        </w:rPr>
        <w:t xml:space="preserve">mucho </w:t>
      </w:r>
      <w:r w:rsidR="00DF4276" w:rsidRPr="003E07B0">
        <w:rPr>
          <w:rFonts w:ascii="Arial" w:hAnsi="Arial" w:cs="Arial"/>
          <w:color w:val="000000" w:themeColor="text1"/>
        </w:rPr>
        <w:t>cuidado la evolución de las finanzas provinciales. Con ese fin seguramente se sa</w:t>
      </w:r>
      <w:r w:rsidR="00275D96" w:rsidRPr="003E07B0">
        <w:rPr>
          <w:rFonts w:ascii="Arial" w:hAnsi="Arial" w:cs="Arial"/>
          <w:color w:val="000000" w:themeColor="text1"/>
        </w:rPr>
        <w:t>ncionó la Ley 27.428</w:t>
      </w:r>
      <w:r w:rsidR="00DF4276" w:rsidRPr="003E07B0">
        <w:rPr>
          <w:rFonts w:ascii="Arial" w:hAnsi="Arial" w:cs="Arial"/>
          <w:color w:val="000000" w:themeColor="text1"/>
        </w:rPr>
        <w:t xml:space="preserve"> de Responsabilidad Fiscal, y se firmó el acuerdo entre Nación y Provinci</w:t>
      </w:r>
      <w:r w:rsidR="00275D96" w:rsidRPr="003E07B0">
        <w:rPr>
          <w:rFonts w:ascii="Arial" w:hAnsi="Arial" w:cs="Arial"/>
          <w:color w:val="000000" w:themeColor="text1"/>
        </w:rPr>
        <w:t>as denominado “Consenso Fiscal</w:t>
      </w:r>
      <w:r w:rsidR="00DF4276" w:rsidRPr="003E07B0">
        <w:rPr>
          <w:rFonts w:ascii="Arial" w:hAnsi="Arial" w:cs="Arial"/>
          <w:color w:val="000000" w:themeColor="text1"/>
        </w:rPr>
        <w:t>”</w:t>
      </w:r>
      <w:r w:rsidR="001D460F">
        <w:rPr>
          <w:rFonts w:ascii="Arial" w:hAnsi="Arial" w:cs="Arial"/>
          <w:color w:val="000000" w:themeColor="text1"/>
        </w:rPr>
        <w:t xml:space="preserve"> </w:t>
      </w:r>
      <w:r w:rsidR="00275D96" w:rsidRPr="003E07B0">
        <w:rPr>
          <w:rFonts w:ascii="Arial" w:hAnsi="Arial" w:cs="Arial"/>
          <w:color w:val="000000" w:themeColor="text1"/>
        </w:rPr>
        <w:t>e institucionalizado a través de la Ley 27.429.</w:t>
      </w: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3065F9" w:rsidRDefault="003065F9" w:rsidP="00CB3BD2">
      <w:pPr>
        <w:spacing w:after="0" w:line="360" w:lineRule="auto"/>
        <w:jc w:val="both"/>
        <w:rPr>
          <w:rFonts w:ascii="Arial" w:hAnsi="Arial" w:cs="Arial"/>
          <w:color w:val="1F497D" w:themeColor="text2"/>
        </w:rPr>
      </w:pPr>
    </w:p>
    <w:p w:rsidR="00CB3BD2" w:rsidRPr="00CB3BD2" w:rsidRDefault="00CB3BD2" w:rsidP="00CB3BD2">
      <w:pPr>
        <w:spacing w:after="0" w:line="360" w:lineRule="auto"/>
        <w:jc w:val="both"/>
        <w:rPr>
          <w:rFonts w:ascii="Arial" w:hAnsi="Arial" w:cs="Arial"/>
          <w:color w:val="1F497D" w:themeColor="text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837798" w:rsidTr="000467AA">
        <w:tc>
          <w:tcPr>
            <w:tcW w:w="9494" w:type="dxa"/>
          </w:tcPr>
          <w:p w:rsidR="00837798" w:rsidRPr="003E07B0" w:rsidRDefault="00B66576" w:rsidP="00FF0E98">
            <w:pPr>
              <w:keepNext/>
              <w:jc w:val="center"/>
              <w:rPr>
                <w:rFonts w:ascii="Arial" w:hAnsi="Arial" w:cs="Arial"/>
                <w:b/>
              </w:rPr>
            </w:pPr>
            <w:r w:rsidRPr="003E07B0">
              <w:rPr>
                <w:rFonts w:ascii="Arial" w:hAnsi="Arial" w:cs="Arial"/>
                <w:b/>
              </w:rPr>
              <w:lastRenderedPageBreak/>
              <w:t xml:space="preserve">Gráfico 2: </w:t>
            </w:r>
            <w:r w:rsidR="00837798" w:rsidRPr="003E07B0">
              <w:rPr>
                <w:rFonts w:ascii="Arial" w:hAnsi="Arial" w:cs="Arial"/>
                <w:b/>
              </w:rPr>
              <w:t>Cantidad de Provincias con Déficit Corriente</w:t>
            </w:r>
          </w:p>
          <w:p w:rsidR="00837798" w:rsidRPr="003E07B0" w:rsidRDefault="00837798" w:rsidP="00FF0E98">
            <w:pPr>
              <w:keepNext/>
              <w:jc w:val="center"/>
              <w:rPr>
                <w:rFonts w:ascii="Arial" w:hAnsi="Arial" w:cs="Arial"/>
              </w:rPr>
            </w:pPr>
            <w:r w:rsidRPr="003E07B0">
              <w:rPr>
                <w:rFonts w:ascii="Arial" w:hAnsi="Arial" w:cs="Arial"/>
              </w:rPr>
              <w:t>Período 1983 – 2017*</w:t>
            </w:r>
          </w:p>
        </w:tc>
      </w:tr>
      <w:tr w:rsidR="00837798" w:rsidTr="000467AA">
        <w:tc>
          <w:tcPr>
            <w:tcW w:w="9494" w:type="dxa"/>
          </w:tcPr>
          <w:p w:rsidR="00CD5D16" w:rsidRDefault="008F03CA" w:rsidP="00CD5D16">
            <w:pPr>
              <w:spacing w:line="480" w:lineRule="auto"/>
              <w:jc w:val="center"/>
              <w:rPr>
                <w:rFonts w:ascii="Times New Roman" w:hAnsi="Times New Roman" w:cs="Times New Roman"/>
              </w:rPr>
            </w:pPr>
            <w:r w:rsidRPr="008F03CA">
              <w:rPr>
                <w:rFonts w:ascii="Times New Roman" w:hAnsi="Times New Roman" w:cs="Times New Roman"/>
                <w:noProof/>
              </w:rPr>
              <w:drawing>
                <wp:inline distT="0" distB="0" distL="0" distR="0">
                  <wp:extent cx="5772150" cy="3038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3038475"/>
                          </a:xfrm>
                          <a:prstGeom prst="rect">
                            <a:avLst/>
                          </a:prstGeom>
                          <a:noFill/>
                          <a:ln>
                            <a:noFill/>
                          </a:ln>
                        </pic:spPr>
                      </pic:pic>
                    </a:graphicData>
                  </a:graphic>
                </wp:inline>
              </w:drawing>
            </w:r>
          </w:p>
        </w:tc>
      </w:tr>
      <w:tr w:rsidR="00837798" w:rsidRPr="00285844" w:rsidTr="000467AA">
        <w:tc>
          <w:tcPr>
            <w:tcW w:w="9494" w:type="dxa"/>
          </w:tcPr>
          <w:p w:rsidR="00837798" w:rsidRPr="003E07B0" w:rsidRDefault="00837798" w:rsidP="00837798">
            <w:pPr>
              <w:jc w:val="both"/>
              <w:rPr>
                <w:rFonts w:ascii="Arial" w:hAnsi="Arial" w:cs="Arial"/>
                <w:i/>
                <w:color w:val="000000" w:themeColor="text1"/>
                <w:sz w:val="18"/>
                <w:szCs w:val="18"/>
              </w:rPr>
            </w:pPr>
            <w:r w:rsidRPr="003E07B0">
              <w:rPr>
                <w:rFonts w:ascii="Arial" w:hAnsi="Arial" w:cs="Arial"/>
                <w:i/>
                <w:noProof/>
                <w:sz w:val="18"/>
                <w:szCs w:val="18"/>
                <w:lang w:eastAsia="es-ES"/>
              </w:rPr>
              <w:t>(</w:t>
            </w:r>
            <w:r w:rsidR="00FC0917" w:rsidRPr="003E07B0">
              <w:rPr>
                <w:rFonts w:ascii="Arial" w:hAnsi="Arial" w:cs="Arial"/>
                <w:i/>
                <w:noProof/>
                <w:sz w:val="18"/>
                <w:szCs w:val="18"/>
                <w:lang w:eastAsia="es-ES"/>
              </w:rPr>
              <w:t>*)</w:t>
            </w:r>
            <w:r w:rsidR="00FC0917" w:rsidRPr="003E07B0">
              <w:rPr>
                <w:rFonts w:ascii="Arial" w:hAnsi="Arial" w:cs="Arial"/>
                <w:i/>
                <w:color w:val="000000" w:themeColor="text1"/>
                <w:sz w:val="18"/>
                <w:szCs w:val="18"/>
              </w:rPr>
              <w:t xml:space="preserve"> Para</w:t>
            </w:r>
            <w:r w:rsidRPr="003E07B0">
              <w:rPr>
                <w:rFonts w:ascii="Arial" w:hAnsi="Arial" w:cs="Arial"/>
                <w:i/>
                <w:color w:val="000000" w:themeColor="text1"/>
                <w:sz w:val="18"/>
                <w:szCs w:val="18"/>
              </w:rPr>
              <w:t xml:space="preserve"> el último año de la serie, se utilizan datos oficiales publicados por los gobiernos provinciales (10 de 24 provincias con datos disponibles para el ejercicio anual 2017), y estimaciones del Ministerio del Interior para aquellas provincias que no publican aun sus datos.</w:t>
            </w:r>
          </w:p>
          <w:p w:rsidR="00837798" w:rsidRPr="003E07B0" w:rsidRDefault="00837798" w:rsidP="008F03CA">
            <w:pPr>
              <w:jc w:val="both"/>
              <w:rPr>
                <w:rFonts w:ascii="Arial" w:hAnsi="Arial" w:cs="Arial"/>
                <w:noProof/>
                <w:sz w:val="18"/>
                <w:szCs w:val="18"/>
                <w:lang w:eastAsia="es-ES"/>
              </w:rPr>
            </w:pPr>
            <w:r w:rsidRPr="003E07B0">
              <w:rPr>
                <w:rFonts w:ascii="Arial" w:hAnsi="Arial" w:cs="Arial"/>
                <w:i/>
                <w:color w:val="000000" w:themeColor="text1"/>
                <w:sz w:val="18"/>
                <w:szCs w:val="18"/>
              </w:rPr>
              <w:t>Elaboración Propia en base a datos del Ministerio de Hacienda, del Ministerio del Interior, y de fuentes oficiales de gobiernos provinciales.</w:t>
            </w:r>
            <w:r w:rsidR="00593912" w:rsidRPr="003E07B0">
              <w:rPr>
                <w:rFonts w:ascii="Arial" w:hAnsi="Arial" w:cs="Arial"/>
                <w:i/>
                <w:color w:val="000000" w:themeColor="text1"/>
                <w:sz w:val="18"/>
                <w:szCs w:val="18"/>
              </w:rPr>
              <w:t xml:space="preserve"> Administración Central, Organismos Descentralizados y Cuentas Especiales.</w:t>
            </w:r>
          </w:p>
        </w:tc>
      </w:tr>
    </w:tbl>
    <w:p w:rsidR="00285844" w:rsidRPr="00275D96" w:rsidRDefault="00285844" w:rsidP="00F52C01">
      <w:pPr>
        <w:spacing w:line="480" w:lineRule="auto"/>
        <w:jc w:val="both"/>
        <w:rPr>
          <w:rFonts w:ascii="Times New Roman" w:hAnsi="Times New Roman" w:cs="Times New Roman"/>
          <w:color w:val="1F497D" w:themeColor="text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4368F5" w:rsidTr="00FF0E98">
        <w:trPr>
          <w:trHeight w:val="414"/>
        </w:trPr>
        <w:tc>
          <w:tcPr>
            <w:tcW w:w="9286" w:type="dxa"/>
          </w:tcPr>
          <w:p w:rsidR="004368F5" w:rsidRPr="00CB3BD2" w:rsidRDefault="00B66576" w:rsidP="00485012">
            <w:pPr>
              <w:jc w:val="center"/>
              <w:rPr>
                <w:rFonts w:ascii="Arial" w:hAnsi="Arial" w:cs="Arial"/>
                <w:b/>
              </w:rPr>
            </w:pPr>
            <w:r w:rsidRPr="00CB3BD2">
              <w:rPr>
                <w:rFonts w:ascii="Arial" w:hAnsi="Arial" w:cs="Arial"/>
                <w:b/>
              </w:rPr>
              <w:t xml:space="preserve">Gráfico 3: </w:t>
            </w:r>
            <w:r w:rsidR="004368F5" w:rsidRPr="00CB3BD2">
              <w:rPr>
                <w:rFonts w:ascii="Arial" w:hAnsi="Arial" w:cs="Arial"/>
                <w:b/>
              </w:rPr>
              <w:t>Cantidad de Provincias con Déficit Financiero</w:t>
            </w:r>
          </w:p>
          <w:p w:rsidR="004368F5" w:rsidRDefault="004368F5" w:rsidP="00485012">
            <w:pPr>
              <w:jc w:val="center"/>
              <w:rPr>
                <w:rFonts w:ascii="Times New Roman" w:hAnsi="Times New Roman" w:cs="Times New Roman"/>
              </w:rPr>
            </w:pPr>
            <w:r w:rsidRPr="00CB3BD2">
              <w:rPr>
                <w:rFonts w:ascii="Arial" w:hAnsi="Arial" w:cs="Arial"/>
              </w:rPr>
              <w:t>Período 1983 – 2017*</w:t>
            </w:r>
          </w:p>
        </w:tc>
      </w:tr>
      <w:tr w:rsidR="004368F5" w:rsidTr="00FF0E98">
        <w:trPr>
          <w:trHeight w:val="4107"/>
        </w:trPr>
        <w:tc>
          <w:tcPr>
            <w:tcW w:w="9286" w:type="dxa"/>
          </w:tcPr>
          <w:p w:rsidR="004368F5" w:rsidRDefault="0026224D" w:rsidP="00485012">
            <w:pPr>
              <w:spacing w:line="480" w:lineRule="auto"/>
              <w:jc w:val="both"/>
              <w:rPr>
                <w:rFonts w:ascii="Times New Roman" w:hAnsi="Times New Roman" w:cs="Times New Roman"/>
              </w:rPr>
            </w:pPr>
            <w:r w:rsidRPr="0026224D">
              <w:rPr>
                <w:rFonts w:ascii="Times New Roman" w:hAnsi="Times New Roman" w:cs="Times New Roman"/>
                <w:noProof/>
              </w:rPr>
              <w:drawing>
                <wp:inline distT="0" distB="0" distL="0" distR="0">
                  <wp:extent cx="5743575" cy="30384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038475"/>
                          </a:xfrm>
                          <a:prstGeom prst="rect">
                            <a:avLst/>
                          </a:prstGeom>
                          <a:noFill/>
                          <a:ln>
                            <a:noFill/>
                          </a:ln>
                        </pic:spPr>
                      </pic:pic>
                    </a:graphicData>
                  </a:graphic>
                </wp:inline>
              </w:drawing>
            </w:r>
          </w:p>
        </w:tc>
      </w:tr>
      <w:tr w:rsidR="004368F5" w:rsidTr="00FF0E98">
        <w:trPr>
          <w:trHeight w:val="841"/>
        </w:trPr>
        <w:tc>
          <w:tcPr>
            <w:tcW w:w="9286" w:type="dxa"/>
          </w:tcPr>
          <w:p w:rsidR="004368F5" w:rsidRPr="003E07B0" w:rsidRDefault="004368F5" w:rsidP="00485012">
            <w:pPr>
              <w:jc w:val="both"/>
              <w:rPr>
                <w:rFonts w:ascii="Arial" w:hAnsi="Arial" w:cs="Arial"/>
                <w:i/>
                <w:color w:val="000000" w:themeColor="text1"/>
                <w:sz w:val="18"/>
                <w:szCs w:val="18"/>
              </w:rPr>
            </w:pPr>
            <w:r w:rsidRPr="003E07B0">
              <w:rPr>
                <w:rFonts w:ascii="Arial" w:hAnsi="Arial" w:cs="Arial"/>
                <w:i/>
                <w:noProof/>
                <w:color w:val="000000" w:themeColor="text1"/>
                <w:sz w:val="18"/>
                <w:szCs w:val="18"/>
                <w:lang w:eastAsia="es-ES"/>
              </w:rPr>
              <w:t>(</w:t>
            </w:r>
            <w:r w:rsidR="00FC0917" w:rsidRPr="003E07B0">
              <w:rPr>
                <w:rFonts w:ascii="Arial" w:hAnsi="Arial" w:cs="Arial"/>
                <w:i/>
                <w:noProof/>
                <w:color w:val="000000" w:themeColor="text1"/>
                <w:sz w:val="18"/>
                <w:szCs w:val="18"/>
                <w:lang w:eastAsia="es-ES"/>
              </w:rPr>
              <w:t>*)</w:t>
            </w:r>
            <w:r w:rsidR="00FC0917" w:rsidRPr="003E07B0">
              <w:rPr>
                <w:rFonts w:ascii="Arial" w:hAnsi="Arial" w:cs="Arial"/>
                <w:i/>
                <w:color w:val="000000" w:themeColor="text1"/>
                <w:sz w:val="18"/>
                <w:szCs w:val="18"/>
              </w:rPr>
              <w:t xml:space="preserve"> Para</w:t>
            </w:r>
            <w:r w:rsidRPr="003E07B0">
              <w:rPr>
                <w:rFonts w:ascii="Arial" w:hAnsi="Arial" w:cs="Arial"/>
                <w:i/>
                <w:color w:val="000000" w:themeColor="text1"/>
                <w:sz w:val="18"/>
                <w:szCs w:val="18"/>
              </w:rPr>
              <w:t xml:space="preserve"> el último año de la serie, se utilizan datos oficiales publicados por los gobiernos provinciales (10 de 24 provincias con datos disponibles para el ejercicio anual 2017), y estimaciones del Ministerio del Interior para aquellas provincias que no publican aun sus datos.</w:t>
            </w:r>
          </w:p>
          <w:p w:rsidR="004368F5" w:rsidRPr="003E07B0" w:rsidRDefault="004368F5" w:rsidP="006D021A">
            <w:pPr>
              <w:jc w:val="both"/>
              <w:rPr>
                <w:rFonts w:ascii="Arial" w:hAnsi="Arial" w:cs="Arial"/>
                <w:noProof/>
                <w:lang w:eastAsia="es-ES"/>
              </w:rPr>
            </w:pPr>
            <w:r w:rsidRPr="003E07B0">
              <w:rPr>
                <w:rFonts w:ascii="Arial" w:hAnsi="Arial" w:cs="Arial"/>
                <w:i/>
                <w:color w:val="000000" w:themeColor="text1"/>
                <w:sz w:val="18"/>
                <w:szCs w:val="18"/>
              </w:rPr>
              <w:t>Elaboración Propia en base a datos del Ministerio de Hacienda, del Ministerio del Interior, y de fuentes oficiales de gobiernos provinciales.</w:t>
            </w:r>
            <w:r w:rsidR="00593912" w:rsidRPr="003E07B0">
              <w:rPr>
                <w:rFonts w:ascii="Arial" w:hAnsi="Arial" w:cs="Arial"/>
                <w:i/>
                <w:color w:val="000000" w:themeColor="text1"/>
                <w:sz w:val="18"/>
                <w:szCs w:val="18"/>
              </w:rPr>
              <w:t xml:space="preserve"> Administración Central, Organismos Descentralizados y Cuentas Especiales.</w:t>
            </w:r>
          </w:p>
        </w:tc>
      </w:tr>
      <w:tr w:rsidR="001F5D10" w:rsidTr="00FF0E98">
        <w:tblPrEx>
          <w:jc w:val="center"/>
        </w:tblPrEx>
        <w:trPr>
          <w:trHeight w:val="414"/>
          <w:jc w:val="center"/>
        </w:trPr>
        <w:tc>
          <w:tcPr>
            <w:tcW w:w="9286" w:type="dxa"/>
          </w:tcPr>
          <w:p w:rsidR="001F5D10" w:rsidRDefault="001F5D10" w:rsidP="00FF0E98">
            <w:pPr>
              <w:spacing w:line="480" w:lineRule="auto"/>
              <w:rPr>
                <w:rFonts w:ascii="Times New Roman" w:hAnsi="Times New Roman" w:cs="Times New Roman"/>
              </w:rPr>
            </w:pPr>
          </w:p>
        </w:tc>
      </w:tr>
    </w:tbl>
    <w:p w:rsidR="00C0704A" w:rsidRDefault="00093BEB" w:rsidP="003E07B0">
      <w:pPr>
        <w:spacing w:after="0" w:line="360" w:lineRule="auto"/>
        <w:jc w:val="both"/>
        <w:rPr>
          <w:rFonts w:ascii="Arial" w:hAnsi="Arial" w:cs="Arial"/>
          <w:color w:val="000000" w:themeColor="text1"/>
        </w:rPr>
      </w:pPr>
      <w:r w:rsidRPr="003E07B0">
        <w:rPr>
          <w:rFonts w:ascii="Arial" w:hAnsi="Arial" w:cs="Arial"/>
          <w:color w:val="000000" w:themeColor="text1"/>
        </w:rPr>
        <w:t xml:space="preserve">Por su parte, puede observarse en el próximo gráfico que la </w:t>
      </w:r>
      <w:r w:rsidR="00BB22F0" w:rsidRPr="003E07B0">
        <w:rPr>
          <w:rFonts w:ascii="Arial" w:hAnsi="Arial" w:cs="Arial"/>
          <w:color w:val="000000" w:themeColor="text1"/>
        </w:rPr>
        <w:t xml:space="preserve">provincia de Buenos Aires </w:t>
      </w:r>
      <w:r w:rsidR="00977B41" w:rsidRPr="003E07B0">
        <w:rPr>
          <w:rFonts w:ascii="Arial" w:hAnsi="Arial" w:cs="Arial"/>
          <w:color w:val="000000" w:themeColor="text1"/>
        </w:rPr>
        <w:t>presentó</w:t>
      </w:r>
      <w:r w:rsidR="001D460F">
        <w:rPr>
          <w:rFonts w:ascii="Arial" w:hAnsi="Arial" w:cs="Arial"/>
          <w:color w:val="000000" w:themeColor="text1"/>
        </w:rPr>
        <w:t xml:space="preserve"> </w:t>
      </w:r>
      <w:r w:rsidRPr="003E07B0">
        <w:rPr>
          <w:rFonts w:ascii="Arial" w:hAnsi="Arial" w:cs="Arial"/>
          <w:color w:val="000000" w:themeColor="text1"/>
        </w:rPr>
        <w:t>d</w:t>
      </w:r>
      <w:r w:rsidR="00BB22F0" w:rsidRPr="003E07B0">
        <w:rPr>
          <w:rFonts w:ascii="Arial" w:hAnsi="Arial" w:cs="Arial"/>
          <w:color w:val="000000" w:themeColor="text1"/>
        </w:rPr>
        <w:t xml:space="preserve">éficit corriente </w:t>
      </w:r>
      <w:r w:rsidRPr="003E07B0">
        <w:rPr>
          <w:rFonts w:ascii="Arial" w:hAnsi="Arial" w:cs="Arial"/>
          <w:color w:val="000000" w:themeColor="text1"/>
        </w:rPr>
        <w:t xml:space="preserve">en </w:t>
      </w:r>
      <w:r w:rsidR="00BB22F0" w:rsidRPr="003E07B0">
        <w:rPr>
          <w:rFonts w:ascii="Arial" w:hAnsi="Arial" w:cs="Arial"/>
          <w:color w:val="000000" w:themeColor="text1"/>
        </w:rPr>
        <w:t>18 de 3</w:t>
      </w:r>
      <w:r w:rsidR="00977B41" w:rsidRPr="003E07B0">
        <w:rPr>
          <w:rFonts w:ascii="Arial" w:hAnsi="Arial" w:cs="Arial"/>
          <w:color w:val="000000" w:themeColor="text1"/>
        </w:rPr>
        <w:t>5</w:t>
      </w:r>
      <w:r w:rsidR="00BB22F0" w:rsidRPr="003E07B0">
        <w:rPr>
          <w:rFonts w:ascii="Arial" w:hAnsi="Arial" w:cs="Arial"/>
          <w:color w:val="000000" w:themeColor="text1"/>
        </w:rPr>
        <w:t xml:space="preserve"> años</w:t>
      </w:r>
      <w:r w:rsidR="00977B41" w:rsidRPr="003E07B0">
        <w:rPr>
          <w:rFonts w:ascii="Arial" w:hAnsi="Arial" w:cs="Arial"/>
          <w:color w:val="000000" w:themeColor="text1"/>
        </w:rPr>
        <w:t xml:space="preserve"> (51% del tiempo)</w:t>
      </w:r>
      <w:r w:rsidR="00BB22F0" w:rsidRPr="003E07B0">
        <w:rPr>
          <w:rFonts w:ascii="Arial" w:hAnsi="Arial" w:cs="Arial"/>
          <w:color w:val="000000" w:themeColor="text1"/>
        </w:rPr>
        <w:t xml:space="preserve">, y déficit financiero </w:t>
      </w:r>
      <w:r w:rsidRPr="003E07B0">
        <w:rPr>
          <w:rFonts w:ascii="Arial" w:hAnsi="Arial" w:cs="Arial"/>
          <w:color w:val="000000" w:themeColor="text1"/>
        </w:rPr>
        <w:t xml:space="preserve">en </w:t>
      </w:r>
      <w:r w:rsidR="00BB22F0" w:rsidRPr="003E07B0">
        <w:rPr>
          <w:rFonts w:ascii="Arial" w:hAnsi="Arial" w:cs="Arial"/>
          <w:color w:val="000000" w:themeColor="text1"/>
        </w:rPr>
        <w:t xml:space="preserve">30 </w:t>
      </w:r>
      <w:r w:rsidR="00977B41" w:rsidRPr="003E07B0">
        <w:rPr>
          <w:rFonts w:ascii="Arial" w:hAnsi="Arial" w:cs="Arial"/>
          <w:color w:val="000000" w:themeColor="text1"/>
        </w:rPr>
        <w:t>ocasiones (86%)</w:t>
      </w:r>
      <w:r w:rsidR="00BB22F0" w:rsidRPr="003E07B0">
        <w:rPr>
          <w:rFonts w:ascii="Arial" w:hAnsi="Arial" w:cs="Arial"/>
          <w:color w:val="000000" w:themeColor="text1"/>
        </w:rPr>
        <w:t>. En la provincia de Jujuy ocurrió algo similar</w:t>
      </w:r>
      <w:r w:rsidR="00977B41" w:rsidRPr="003E07B0">
        <w:rPr>
          <w:rFonts w:ascii="Arial" w:hAnsi="Arial" w:cs="Arial"/>
          <w:color w:val="000000" w:themeColor="text1"/>
        </w:rPr>
        <w:t>:</w:t>
      </w:r>
      <w:r w:rsidR="00BB22F0" w:rsidRPr="003E07B0">
        <w:rPr>
          <w:rFonts w:ascii="Arial" w:hAnsi="Arial" w:cs="Arial"/>
          <w:color w:val="000000" w:themeColor="text1"/>
        </w:rPr>
        <w:t xml:space="preserve"> 19 años con déficit corriente, y 30 con déficit financiero.</w:t>
      </w:r>
    </w:p>
    <w:p w:rsidR="00C0704A" w:rsidRPr="003E07B0" w:rsidRDefault="00C0704A" w:rsidP="003E07B0">
      <w:pPr>
        <w:spacing w:after="0" w:line="360" w:lineRule="auto"/>
        <w:jc w:val="both"/>
        <w:rPr>
          <w:rFonts w:ascii="Arial" w:hAnsi="Arial" w:cs="Arial"/>
          <w:color w:val="000000" w:themeColor="text1"/>
        </w:rPr>
      </w:pPr>
    </w:p>
    <w:p w:rsidR="008F03CA" w:rsidRDefault="006F65AA" w:rsidP="003065F9">
      <w:pPr>
        <w:spacing w:after="0" w:line="360" w:lineRule="auto"/>
        <w:jc w:val="both"/>
        <w:rPr>
          <w:rFonts w:ascii="Arial" w:hAnsi="Arial" w:cs="Arial"/>
          <w:color w:val="000000" w:themeColor="text1"/>
        </w:rPr>
      </w:pPr>
      <w:r w:rsidRPr="003E07B0">
        <w:rPr>
          <w:rFonts w:ascii="Arial" w:hAnsi="Arial" w:cs="Arial"/>
          <w:color w:val="000000" w:themeColor="text1"/>
        </w:rPr>
        <w:t>Entre los mejores resultados observados, se encuentra la provincia de La Pampa, que en los últimos 3</w:t>
      </w:r>
      <w:r w:rsidR="00977B41" w:rsidRPr="003E07B0">
        <w:rPr>
          <w:rFonts w:ascii="Arial" w:hAnsi="Arial" w:cs="Arial"/>
          <w:color w:val="000000" w:themeColor="text1"/>
        </w:rPr>
        <w:t>5</w:t>
      </w:r>
      <w:r w:rsidRPr="003E07B0">
        <w:rPr>
          <w:rFonts w:ascii="Arial" w:hAnsi="Arial" w:cs="Arial"/>
          <w:color w:val="000000" w:themeColor="text1"/>
        </w:rPr>
        <w:t xml:space="preserve"> años nunca evidenció un resultado corriente negativo, mientras que en 14 </w:t>
      </w:r>
      <w:r w:rsidR="00977B41" w:rsidRPr="003E07B0">
        <w:rPr>
          <w:rFonts w:ascii="Arial" w:hAnsi="Arial" w:cs="Arial"/>
          <w:color w:val="000000" w:themeColor="text1"/>
        </w:rPr>
        <w:t xml:space="preserve">ocasiones </w:t>
      </w:r>
      <w:r w:rsidR="00093BEB" w:rsidRPr="003E07B0">
        <w:rPr>
          <w:rFonts w:ascii="Arial" w:hAnsi="Arial" w:cs="Arial"/>
          <w:color w:val="000000" w:themeColor="text1"/>
        </w:rPr>
        <w:t>mostró</w:t>
      </w:r>
      <w:r w:rsidRPr="003E07B0">
        <w:rPr>
          <w:rFonts w:ascii="Arial" w:hAnsi="Arial" w:cs="Arial"/>
          <w:color w:val="000000" w:themeColor="text1"/>
        </w:rPr>
        <w:t xml:space="preserve"> un déficit financiero</w:t>
      </w:r>
      <w:r w:rsidR="00977B41" w:rsidRPr="003E07B0">
        <w:rPr>
          <w:rFonts w:ascii="Arial" w:hAnsi="Arial" w:cs="Arial"/>
          <w:color w:val="000000" w:themeColor="text1"/>
        </w:rPr>
        <w:t xml:space="preserve"> (40% del tiempo)</w:t>
      </w:r>
      <w:r w:rsidRPr="003E07B0">
        <w:rPr>
          <w:rFonts w:ascii="Arial" w:hAnsi="Arial" w:cs="Arial"/>
          <w:color w:val="000000" w:themeColor="text1"/>
        </w:rPr>
        <w:t xml:space="preserve">. En San Luis ocurre algo similar, </w:t>
      </w:r>
      <w:r w:rsidR="00093BEB" w:rsidRPr="003E07B0">
        <w:rPr>
          <w:rFonts w:ascii="Arial" w:hAnsi="Arial" w:cs="Arial"/>
          <w:color w:val="000000" w:themeColor="text1"/>
        </w:rPr>
        <w:t xml:space="preserve">que muestra </w:t>
      </w:r>
      <w:r w:rsidR="00977B41" w:rsidRPr="003E07B0">
        <w:rPr>
          <w:rFonts w:ascii="Arial" w:hAnsi="Arial" w:cs="Arial"/>
          <w:color w:val="000000" w:themeColor="text1"/>
        </w:rPr>
        <w:t xml:space="preserve">sólo </w:t>
      </w:r>
      <w:r w:rsidRPr="003E07B0">
        <w:rPr>
          <w:rFonts w:ascii="Arial" w:hAnsi="Arial" w:cs="Arial"/>
          <w:color w:val="000000" w:themeColor="text1"/>
        </w:rPr>
        <w:t>13 años con déficit financiero.</w:t>
      </w:r>
      <w:r w:rsidR="00F3362A" w:rsidRPr="003E07B0">
        <w:rPr>
          <w:rFonts w:ascii="Arial" w:hAnsi="Arial" w:cs="Arial"/>
          <w:color w:val="000000" w:themeColor="text1"/>
        </w:rPr>
        <w:t xml:space="preserve"> En S</w:t>
      </w:r>
      <w:r w:rsidR="00173888" w:rsidRPr="003E07B0">
        <w:rPr>
          <w:rFonts w:ascii="Arial" w:hAnsi="Arial" w:cs="Arial"/>
          <w:color w:val="000000" w:themeColor="text1"/>
        </w:rPr>
        <w:t xml:space="preserve">antiago del Estero, sólo 1 año </w:t>
      </w:r>
      <w:r w:rsidR="00093BEB" w:rsidRPr="003E07B0">
        <w:rPr>
          <w:rFonts w:ascii="Arial" w:hAnsi="Arial" w:cs="Arial"/>
          <w:color w:val="000000" w:themeColor="text1"/>
        </w:rPr>
        <w:t xml:space="preserve">mostró </w:t>
      </w:r>
      <w:r w:rsidR="00F60D89" w:rsidRPr="003E07B0">
        <w:rPr>
          <w:rFonts w:ascii="Arial" w:hAnsi="Arial" w:cs="Arial"/>
          <w:color w:val="000000" w:themeColor="text1"/>
        </w:rPr>
        <w:t>déficit corriente, mientras que en 14</w:t>
      </w:r>
      <w:r w:rsidR="00C0704A">
        <w:rPr>
          <w:rFonts w:ascii="Arial" w:hAnsi="Arial" w:cs="Arial"/>
          <w:color w:val="000000" w:themeColor="text1"/>
        </w:rPr>
        <w:t xml:space="preserve"> </w:t>
      </w:r>
      <w:r w:rsidR="00356EBA" w:rsidRPr="003E07B0">
        <w:rPr>
          <w:rFonts w:ascii="Arial" w:hAnsi="Arial" w:cs="Arial"/>
          <w:color w:val="000000" w:themeColor="text1"/>
        </w:rPr>
        <w:t xml:space="preserve">ocasiones </w:t>
      </w:r>
      <w:r w:rsidR="00093BEB" w:rsidRPr="003E07B0">
        <w:rPr>
          <w:rFonts w:ascii="Arial" w:hAnsi="Arial" w:cs="Arial"/>
          <w:color w:val="000000" w:themeColor="text1"/>
        </w:rPr>
        <w:t xml:space="preserve">reflejó </w:t>
      </w:r>
      <w:r w:rsidR="00F60D89" w:rsidRPr="003E07B0">
        <w:rPr>
          <w:rFonts w:ascii="Arial" w:hAnsi="Arial" w:cs="Arial"/>
          <w:color w:val="000000" w:themeColor="text1"/>
        </w:rPr>
        <w:t>déficit financiero. En la CABA ocurrió algo similar.</w:t>
      </w:r>
    </w:p>
    <w:p w:rsidR="003065F9" w:rsidRPr="003065F9" w:rsidRDefault="003065F9" w:rsidP="003065F9">
      <w:pPr>
        <w:spacing w:after="0" w:line="360" w:lineRule="auto"/>
        <w:jc w:val="both"/>
        <w:rPr>
          <w:rFonts w:ascii="Arial" w:hAnsi="Arial" w:cs="Arial"/>
          <w:color w:val="000000" w:themeColor="text1"/>
        </w:rPr>
      </w:pP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6"/>
        <w:gridCol w:w="4274"/>
        <w:gridCol w:w="246"/>
      </w:tblGrid>
      <w:tr w:rsidR="00156A35" w:rsidTr="008E2969">
        <w:trPr>
          <w:jc w:val="center"/>
        </w:trPr>
        <w:tc>
          <w:tcPr>
            <w:tcW w:w="4872" w:type="dxa"/>
          </w:tcPr>
          <w:p w:rsidR="004368F5" w:rsidRPr="003E07B0" w:rsidRDefault="00356EBA" w:rsidP="004368F5">
            <w:pPr>
              <w:jc w:val="center"/>
              <w:rPr>
                <w:rFonts w:ascii="Arial" w:hAnsi="Arial" w:cs="Arial"/>
                <w:b/>
                <w:noProof/>
                <w:lang w:eastAsia="es-ES"/>
              </w:rPr>
            </w:pPr>
            <w:r w:rsidRPr="003E07B0">
              <w:rPr>
                <w:rFonts w:ascii="Arial" w:hAnsi="Arial" w:cs="Arial"/>
                <w:b/>
                <w:noProof/>
                <w:lang w:eastAsia="es-ES"/>
              </w:rPr>
              <w:t xml:space="preserve">Gráfico 4: </w:t>
            </w:r>
            <w:r w:rsidR="004368F5" w:rsidRPr="003E07B0">
              <w:rPr>
                <w:rFonts w:ascii="Arial" w:hAnsi="Arial" w:cs="Arial"/>
                <w:b/>
                <w:noProof/>
                <w:lang w:eastAsia="es-ES"/>
              </w:rPr>
              <w:t>Cantidad de años con Déficit Corriente</w:t>
            </w:r>
          </w:p>
          <w:p w:rsidR="004368F5" w:rsidRPr="003E07B0" w:rsidRDefault="004368F5" w:rsidP="004368F5">
            <w:pPr>
              <w:jc w:val="center"/>
              <w:rPr>
                <w:rFonts w:ascii="Arial" w:hAnsi="Arial" w:cs="Arial"/>
                <w:noProof/>
                <w:lang w:eastAsia="es-ES"/>
              </w:rPr>
            </w:pPr>
            <w:r w:rsidRPr="003E07B0">
              <w:rPr>
                <w:rFonts w:ascii="Arial" w:hAnsi="Arial" w:cs="Arial"/>
                <w:noProof/>
                <w:lang w:eastAsia="es-ES"/>
              </w:rPr>
              <w:t>Período 1983-2017 (3</w:t>
            </w:r>
            <w:r w:rsidR="00356EBA" w:rsidRPr="003E07B0">
              <w:rPr>
                <w:rFonts w:ascii="Arial" w:hAnsi="Arial" w:cs="Arial"/>
                <w:noProof/>
                <w:lang w:eastAsia="es-ES"/>
              </w:rPr>
              <w:t>5</w:t>
            </w:r>
            <w:r w:rsidRPr="003E07B0">
              <w:rPr>
                <w:rFonts w:ascii="Arial" w:hAnsi="Arial" w:cs="Arial"/>
                <w:noProof/>
                <w:lang w:eastAsia="es-ES"/>
              </w:rPr>
              <w:t xml:space="preserve"> años)</w:t>
            </w:r>
          </w:p>
          <w:p w:rsidR="001918A3" w:rsidRPr="003E07B0" w:rsidRDefault="001918A3" w:rsidP="004368F5">
            <w:pPr>
              <w:jc w:val="center"/>
              <w:rPr>
                <w:rFonts w:ascii="Arial" w:hAnsi="Arial" w:cs="Arial"/>
                <w:noProof/>
                <w:lang w:eastAsia="es-ES"/>
              </w:rPr>
            </w:pPr>
            <w:r w:rsidRPr="003E07B0">
              <w:rPr>
                <w:rFonts w:ascii="Arial" w:hAnsi="Arial" w:cs="Arial"/>
                <w:noProof/>
                <w:lang w:eastAsia="es-ES"/>
              </w:rPr>
              <w:t>Por provincia</w:t>
            </w:r>
          </w:p>
        </w:tc>
        <w:tc>
          <w:tcPr>
            <w:tcW w:w="4698" w:type="dxa"/>
            <w:gridSpan w:val="2"/>
          </w:tcPr>
          <w:p w:rsidR="004368F5" w:rsidRPr="003E07B0" w:rsidRDefault="00356EBA" w:rsidP="001918A3">
            <w:pPr>
              <w:jc w:val="center"/>
              <w:rPr>
                <w:rFonts w:ascii="Arial" w:hAnsi="Arial" w:cs="Arial"/>
                <w:b/>
                <w:noProof/>
                <w:lang w:eastAsia="es-ES"/>
              </w:rPr>
            </w:pPr>
            <w:r w:rsidRPr="003E07B0">
              <w:rPr>
                <w:rFonts w:ascii="Arial" w:hAnsi="Arial" w:cs="Arial"/>
                <w:b/>
                <w:noProof/>
                <w:lang w:eastAsia="es-ES"/>
              </w:rPr>
              <w:t xml:space="preserve">Gráfico 5: </w:t>
            </w:r>
            <w:r w:rsidR="004368F5" w:rsidRPr="003E07B0">
              <w:rPr>
                <w:rFonts w:ascii="Arial" w:hAnsi="Arial" w:cs="Arial"/>
                <w:b/>
                <w:noProof/>
                <w:lang w:eastAsia="es-ES"/>
              </w:rPr>
              <w:t xml:space="preserve">Cantidad de años con Déficit </w:t>
            </w:r>
            <w:r w:rsidR="00CD5D16" w:rsidRPr="003E07B0">
              <w:rPr>
                <w:rFonts w:ascii="Arial" w:hAnsi="Arial" w:cs="Arial"/>
                <w:b/>
                <w:noProof/>
                <w:lang w:eastAsia="es-ES"/>
              </w:rPr>
              <w:t>Financiero</w:t>
            </w:r>
          </w:p>
          <w:p w:rsidR="004368F5" w:rsidRPr="003E07B0" w:rsidRDefault="004368F5" w:rsidP="001918A3">
            <w:pPr>
              <w:jc w:val="center"/>
              <w:rPr>
                <w:rFonts w:ascii="Arial" w:hAnsi="Arial" w:cs="Arial"/>
                <w:noProof/>
                <w:lang w:eastAsia="es-ES"/>
              </w:rPr>
            </w:pPr>
            <w:r w:rsidRPr="003E07B0">
              <w:rPr>
                <w:rFonts w:ascii="Arial" w:hAnsi="Arial" w:cs="Arial"/>
                <w:noProof/>
                <w:lang w:eastAsia="es-ES"/>
              </w:rPr>
              <w:t>Período 1983-2017 (3</w:t>
            </w:r>
            <w:r w:rsidR="00356EBA" w:rsidRPr="003E07B0">
              <w:rPr>
                <w:rFonts w:ascii="Arial" w:hAnsi="Arial" w:cs="Arial"/>
                <w:noProof/>
                <w:lang w:eastAsia="es-ES"/>
              </w:rPr>
              <w:t>5</w:t>
            </w:r>
            <w:r w:rsidRPr="003E07B0">
              <w:rPr>
                <w:rFonts w:ascii="Arial" w:hAnsi="Arial" w:cs="Arial"/>
                <w:noProof/>
                <w:lang w:eastAsia="es-ES"/>
              </w:rPr>
              <w:t xml:space="preserve"> años)</w:t>
            </w:r>
          </w:p>
          <w:p w:rsidR="001918A3" w:rsidRPr="003E07B0" w:rsidRDefault="001918A3" w:rsidP="001918A3">
            <w:pPr>
              <w:jc w:val="center"/>
              <w:rPr>
                <w:rFonts w:ascii="Arial" w:hAnsi="Arial" w:cs="Arial"/>
                <w:noProof/>
                <w:lang w:eastAsia="es-ES"/>
              </w:rPr>
            </w:pPr>
            <w:r w:rsidRPr="003E07B0">
              <w:rPr>
                <w:rFonts w:ascii="Arial" w:hAnsi="Arial" w:cs="Arial"/>
                <w:noProof/>
                <w:lang w:eastAsia="es-ES"/>
              </w:rPr>
              <w:t>Por provincia</w:t>
            </w:r>
          </w:p>
        </w:tc>
      </w:tr>
      <w:tr w:rsidR="00156A35" w:rsidTr="008E2969">
        <w:trPr>
          <w:jc w:val="center"/>
        </w:trPr>
        <w:tc>
          <w:tcPr>
            <w:tcW w:w="4872" w:type="dxa"/>
          </w:tcPr>
          <w:p w:rsidR="00B760A9" w:rsidRDefault="00156A35" w:rsidP="00C80419">
            <w:pPr>
              <w:spacing w:line="480" w:lineRule="auto"/>
              <w:jc w:val="both"/>
              <w:rPr>
                <w:rFonts w:ascii="Times New Roman" w:hAnsi="Times New Roman" w:cs="Times New Roman"/>
              </w:rPr>
            </w:pPr>
            <w:r w:rsidRPr="00156A35">
              <w:rPr>
                <w:rFonts w:ascii="Times New Roman" w:hAnsi="Times New Roman" w:cs="Times New Roman"/>
                <w:noProof/>
              </w:rPr>
              <w:drawing>
                <wp:inline distT="0" distB="0" distL="0" distR="0">
                  <wp:extent cx="2771775" cy="351150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4357" cy="3514773"/>
                          </a:xfrm>
                          <a:prstGeom prst="rect">
                            <a:avLst/>
                          </a:prstGeom>
                          <a:noFill/>
                          <a:ln>
                            <a:noFill/>
                          </a:ln>
                        </pic:spPr>
                      </pic:pic>
                    </a:graphicData>
                  </a:graphic>
                </wp:inline>
              </w:drawing>
            </w:r>
          </w:p>
        </w:tc>
        <w:tc>
          <w:tcPr>
            <w:tcW w:w="4698" w:type="dxa"/>
            <w:gridSpan w:val="2"/>
          </w:tcPr>
          <w:p w:rsidR="00B760A9" w:rsidRDefault="00156A35" w:rsidP="00C80419">
            <w:pPr>
              <w:spacing w:line="480" w:lineRule="auto"/>
              <w:jc w:val="both"/>
              <w:rPr>
                <w:rFonts w:ascii="Times New Roman" w:hAnsi="Times New Roman" w:cs="Times New Roman"/>
              </w:rPr>
            </w:pPr>
            <w:r w:rsidRPr="00156A35">
              <w:rPr>
                <w:rFonts w:ascii="Times New Roman" w:hAnsi="Times New Roman" w:cs="Times New Roman"/>
                <w:noProof/>
              </w:rPr>
              <w:drawing>
                <wp:inline distT="0" distB="0" distL="0" distR="0">
                  <wp:extent cx="2533650" cy="35433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895" cy="3543642"/>
                          </a:xfrm>
                          <a:prstGeom prst="rect">
                            <a:avLst/>
                          </a:prstGeom>
                          <a:noFill/>
                          <a:ln>
                            <a:noFill/>
                          </a:ln>
                        </pic:spPr>
                      </pic:pic>
                    </a:graphicData>
                  </a:graphic>
                </wp:inline>
              </w:drawing>
            </w:r>
          </w:p>
        </w:tc>
      </w:tr>
      <w:tr w:rsidR="000D3C0D" w:rsidRPr="00F10239" w:rsidTr="008E2969">
        <w:trPr>
          <w:jc w:val="center"/>
        </w:trPr>
        <w:tc>
          <w:tcPr>
            <w:tcW w:w="9322" w:type="dxa"/>
            <w:gridSpan w:val="2"/>
          </w:tcPr>
          <w:p w:rsidR="008E2969" w:rsidRPr="003E07B0" w:rsidRDefault="008E2969" w:rsidP="008E2969">
            <w:pPr>
              <w:jc w:val="both"/>
              <w:rPr>
                <w:rFonts w:ascii="Arial" w:hAnsi="Arial" w:cs="Arial"/>
                <w:i/>
                <w:color w:val="000000" w:themeColor="text1"/>
                <w:sz w:val="18"/>
                <w:szCs w:val="18"/>
              </w:rPr>
            </w:pPr>
            <w:r w:rsidRPr="003E07B0">
              <w:rPr>
                <w:rFonts w:ascii="Arial" w:hAnsi="Arial" w:cs="Arial"/>
                <w:i/>
                <w:noProof/>
                <w:color w:val="000000" w:themeColor="text1"/>
                <w:sz w:val="18"/>
                <w:szCs w:val="18"/>
                <w:lang w:eastAsia="es-ES"/>
              </w:rPr>
              <w:t>(*)</w:t>
            </w:r>
            <w:r w:rsidRPr="003E07B0">
              <w:rPr>
                <w:rFonts w:ascii="Arial" w:hAnsi="Arial" w:cs="Arial"/>
                <w:i/>
                <w:color w:val="000000" w:themeColor="text1"/>
                <w:sz w:val="18"/>
                <w:szCs w:val="18"/>
              </w:rPr>
              <w:t>Para el último año de la serie, se utilizan datos oficiales publicados por los gobiernos provinciales (10 de 24 provincias con datos disponibles para el ejercicio anual 2017), y estimaciones del Ministerio del Interior para aquellas provincias que no publican aun sus datos.</w:t>
            </w:r>
          </w:p>
          <w:p w:rsidR="008E2969" w:rsidRPr="00F10239" w:rsidRDefault="008E2969" w:rsidP="00485012">
            <w:pPr>
              <w:jc w:val="both"/>
              <w:rPr>
                <w:rFonts w:ascii="Times New Roman" w:hAnsi="Times New Roman" w:cs="Times New Roman"/>
                <w:noProof/>
                <w:color w:val="000000" w:themeColor="text1"/>
                <w:lang w:eastAsia="es-ES"/>
              </w:rPr>
            </w:pPr>
            <w:r w:rsidRPr="003E07B0">
              <w:rPr>
                <w:rFonts w:ascii="Arial" w:hAnsi="Arial" w:cs="Arial"/>
                <w:i/>
                <w:color w:val="000000" w:themeColor="text1"/>
                <w:sz w:val="18"/>
                <w:szCs w:val="18"/>
              </w:rPr>
              <w:t>Elaboración Propia en base a datos del Ministerio de Hacienda, del Ministerio del Interior, y de fuentes oficiales de gobiernos provinciales.</w:t>
            </w:r>
            <w:r w:rsidR="00593912" w:rsidRPr="003E07B0">
              <w:rPr>
                <w:rFonts w:ascii="Arial" w:hAnsi="Arial" w:cs="Arial"/>
                <w:i/>
                <w:color w:val="000000" w:themeColor="text1"/>
                <w:sz w:val="18"/>
                <w:szCs w:val="18"/>
              </w:rPr>
              <w:t xml:space="preserve"> Administración Central, Organismos Descentralizados y Cuentas Especiales.</w:t>
            </w:r>
          </w:p>
        </w:tc>
        <w:tc>
          <w:tcPr>
            <w:tcW w:w="248" w:type="dxa"/>
          </w:tcPr>
          <w:p w:rsidR="008E2969" w:rsidRPr="00F10239" w:rsidRDefault="008E2969" w:rsidP="00C80419">
            <w:pPr>
              <w:spacing w:line="480" w:lineRule="auto"/>
              <w:jc w:val="both"/>
              <w:rPr>
                <w:rFonts w:ascii="Times New Roman" w:hAnsi="Times New Roman" w:cs="Times New Roman"/>
                <w:noProof/>
                <w:color w:val="000000" w:themeColor="text1"/>
                <w:lang w:eastAsia="es-ES"/>
              </w:rPr>
            </w:pPr>
          </w:p>
        </w:tc>
      </w:tr>
    </w:tbl>
    <w:p w:rsidR="008E2969" w:rsidRDefault="008E2969" w:rsidP="003976B1">
      <w:pPr>
        <w:spacing w:line="480" w:lineRule="auto"/>
        <w:jc w:val="both"/>
        <w:rPr>
          <w:rFonts w:ascii="Times New Roman" w:hAnsi="Times New Roman" w:cs="Times New Roman"/>
          <w:highlight w:val="cyan"/>
        </w:rPr>
      </w:pPr>
    </w:p>
    <w:p w:rsidR="00593912" w:rsidRDefault="00356EBA" w:rsidP="0026224D">
      <w:pPr>
        <w:spacing w:after="0" w:line="360" w:lineRule="auto"/>
        <w:jc w:val="both"/>
        <w:rPr>
          <w:rFonts w:ascii="Arial" w:hAnsi="Arial" w:cs="Arial"/>
        </w:rPr>
      </w:pPr>
      <w:r w:rsidRPr="003E07B0">
        <w:rPr>
          <w:rFonts w:ascii="Arial" w:hAnsi="Arial" w:cs="Arial"/>
        </w:rPr>
        <w:lastRenderedPageBreak/>
        <w:t>Realizando una comparación por regiones del país, puede observarse que las dos provincias con mayor cantidad de resultados deficitarios en el período 1983 – 2017 han sido</w:t>
      </w:r>
      <w:r w:rsidR="00793D77" w:rsidRPr="003E07B0">
        <w:rPr>
          <w:rFonts w:ascii="Arial" w:hAnsi="Arial" w:cs="Arial"/>
        </w:rPr>
        <w:t>, en promedio,</w:t>
      </w:r>
      <w:r w:rsidRPr="003E07B0">
        <w:rPr>
          <w:rFonts w:ascii="Arial" w:hAnsi="Arial" w:cs="Arial"/>
        </w:rPr>
        <w:t xml:space="preserve"> las del Noroeste y la Patagonia, mientras </w:t>
      </w:r>
      <w:r w:rsidR="00793D77" w:rsidRPr="003E07B0">
        <w:rPr>
          <w:rFonts w:ascii="Arial" w:hAnsi="Arial" w:cs="Arial"/>
        </w:rPr>
        <w:t xml:space="preserve">que </w:t>
      </w:r>
      <w:r w:rsidRPr="003E07B0">
        <w:rPr>
          <w:rFonts w:ascii="Arial" w:hAnsi="Arial" w:cs="Arial"/>
        </w:rPr>
        <w:t>las menos deficitarias ha</w:t>
      </w:r>
      <w:r w:rsidR="0026224D">
        <w:rPr>
          <w:rFonts w:ascii="Arial" w:hAnsi="Arial" w:cs="Arial"/>
        </w:rPr>
        <w:t>n sido Cuyo y Noreste del país.</w:t>
      </w:r>
    </w:p>
    <w:p w:rsidR="0026224D" w:rsidRPr="0026224D" w:rsidRDefault="0026224D" w:rsidP="0026224D">
      <w:pPr>
        <w:spacing w:after="0" w:line="360" w:lineRule="auto"/>
        <w:jc w:val="both"/>
        <w:rPr>
          <w:rFonts w:ascii="Arial" w:hAnsi="Arial" w:cs="Arial"/>
        </w:rPr>
      </w:pP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38"/>
        <w:gridCol w:w="4267"/>
        <w:gridCol w:w="381"/>
      </w:tblGrid>
      <w:tr w:rsidR="001918A3" w:rsidTr="00970500">
        <w:trPr>
          <w:jc w:val="center"/>
        </w:trPr>
        <w:tc>
          <w:tcPr>
            <w:tcW w:w="4872" w:type="dxa"/>
          </w:tcPr>
          <w:p w:rsidR="001918A3" w:rsidRPr="003E07B0" w:rsidRDefault="00356EBA" w:rsidP="00970500">
            <w:pPr>
              <w:jc w:val="center"/>
              <w:rPr>
                <w:rFonts w:ascii="Arial" w:hAnsi="Arial" w:cs="Arial"/>
                <w:b/>
                <w:noProof/>
                <w:lang w:eastAsia="es-ES"/>
              </w:rPr>
            </w:pPr>
            <w:r w:rsidRPr="003E07B0">
              <w:rPr>
                <w:rFonts w:ascii="Arial" w:hAnsi="Arial" w:cs="Arial"/>
                <w:b/>
                <w:noProof/>
                <w:lang w:eastAsia="es-ES"/>
              </w:rPr>
              <w:t xml:space="preserve">Gráfico 6: </w:t>
            </w:r>
            <w:r w:rsidR="001918A3" w:rsidRPr="003E07B0">
              <w:rPr>
                <w:rFonts w:ascii="Arial" w:hAnsi="Arial" w:cs="Arial"/>
                <w:b/>
                <w:noProof/>
                <w:lang w:eastAsia="es-ES"/>
              </w:rPr>
              <w:t>Cantidad de años con Déficit Corriente</w:t>
            </w:r>
          </w:p>
          <w:p w:rsidR="001918A3" w:rsidRPr="003E07B0" w:rsidRDefault="001918A3" w:rsidP="00970500">
            <w:pPr>
              <w:jc w:val="center"/>
              <w:rPr>
                <w:rFonts w:ascii="Arial" w:hAnsi="Arial" w:cs="Arial"/>
                <w:noProof/>
                <w:lang w:eastAsia="es-ES"/>
              </w:rPr>
            </w:pPr>
            <w:r w:rsidRPr="003E07B0">
              <w:rPr>
                <w:rFonts w:ascii="Arial" w:hAnsi="Arial" w:cs="Arial"/>
                <w:noProof/>
                <w:lang w:eastAsia="es-ES"/>
              </w:rPr>
              <w:t>Período 1983-2017 (3</w:t>
            </w:r>
            <w:r w:rsidR="00356EBA" w:rsidRPr="003E07B0">
              <w:rPr>
                <w:rFonts w:ascii="Arial" w:hAnsi="Arial" w:cs="Arial"/>
                <w:noProof/>
                <w:lang w:eastAsia="es-ES"/>
              </w:rPr>
              <w:t>5</w:t>
            </w:r>
            <w:r w:rsidRPr="003E07B0">
              <w:rPr>
                <w:rFonts w:ascii="Arial" w:hAnsi="Arial" w:cs="Arial"/>
                <w:noProof/>
                <w:lang w:eastAsia="es-ES"/>
              </w:rPr>
              <w:t xml:space="preserve"> años)</w:t>
            </w:r>
          </w:p>
          <w:p w:rsidR="001918A3" w:rsidRPr="003E07B0" w:rsidRDefault="001918A3" w:rsidP="00970500">
            <w:pPr>
              <w:jc w:val="center"/>
              <w:rPr>
                <w:rFonts w:ascii="Arial" w:hAnsi="Arial" w:cs="Arial"/>
                <w:noProof/>
                <w:lang w:eastAsia="es-ES"/>
              </w:rPr>
            </w:pPr>
            <w:r w:rsidRPr="003E07B0">
              <w:rPr>
                <w:rFonts w:ascii="Arial" w:hAnsi="Arial" w:cs="Arial"/>
                <w:noProof/>
                <w:lang w:eastAsia="es-ES"/>
              </w:rPr>
              <w:t>Por regiones</w:t>
            </w:r>
          </w:p>
        </w:tc>
        <w:tc>
          <w:tcPr>
            <w:tcW w:w="4698" w:type="dxa"/>
            <w:gridSpan w:val="2"/>
          </w:tcPr>
          <w:p w:rsidR="001918A3" w:rsidRPr="003E07B0" w:rsidRDefault="00356EBA" w:rsidP="001918A3">
            <w:pPr>
              <w:jc w:val="center"/>
              <w:rPr>
                <w:rFonts w:ascii="Arial" w:hAnsi="Arial" w:cs="Arial"/>
                <w:b/>
                <w:noProof/>
                <w:lang w:eastAsia="es-ES"/>
              </w:rPr>
            </w:pPr>
            <w:r w:rsidRPr="003E07B0">
              <w:rPr>
                <w:rFonts w:ascii="Arial" w:hAnsi="Arial" w:cs="Arial"/>
                <w:b/>
                <w:noProof/>
                <w:lang w:eastAsia="es-ES"/>
              </w:rPr>
              <w:t xml:space="preserve">Gráfico 7: </w:t>
            </w:r>
            <w:r w:rsidR="001918A3" w:rsidRPr="003E07B0">
              <w:rPr>
                <w:rFonts w:ascii="Arial" w:hAnsi="Arial" w:cs="Arial"/>
                <w:b/>
                <w:noProof/>
                <w:lang w:eastAsia="es-ES"/>
              </w:rPr>
              <w:t xml:space="preserve">Cantidad de años con Déficit </w:t>
            </w:r>
            <w:r w:rsidR="00CD5D16" w:rsidRPr="003E07B0">
              <w:rPr>
                <w:rFonts w:ascii="Arial" w:hAnsi="Arial" w:cs="Arial"/>
                <w:b/>
                <w:noProof/>
                <w:lang w:eastAsia="es-ES"/>
              </w:rPr>
              <w:t>Financiero</w:t>
            </w:r>
          </w:p>
          <w:p w:rsidR="001918A3" w:rsidRPr="003E07B0" w:rsidRDefault="001918A3" w:rsidP="001918A3">
            <w:pPr>
              <w:jc w:val="center"/>
              <w:rPr>
                <w:rFonts w:ascii="Arial" w:hAnsi="Arial" w:cs="Arial"/>
                <w:noProof/>
                <w:lang w:eastAsia="es-ES"/>
              </w:rPr>
            </w:pPr>
            <w:r w:rsidRPr="003E07B0">
              <w:rPr>
                <w:rFonts w:ascii="Arial" w:hAnsi="Arial" w:cs="Arial"/>
                <w:noProof/>
                <w:lang w:eastAsia="es-ES"/>
              </w:rPr>
              <w:t>Período 1983-2017 (3</w:t>
            </w:r>
            <w:r w:rsidR="00356EBA" w:rsidRPr="003E07B0">
              <w:rPr>
                <w:rFonts w:ascii="Arial" w:hAnsi="Arial" w:cs="Arial"/>
                <w:noProof/>
                <w:lang w:eastAsia="es-ES"/>
              </w:rPr>
              <w:t>5</w:t>
            </w:r>
            <w:r w:rsidRPr="003E07B0">
              <w:rPr>
                <w:rFonts w:ascii="Arial" w:hAnsi="Arial" w:cs="Arial"/>
                <w:noProof/>
                <w:lang w:eastAsia="es-ES"/>
              </w:rPr>
              <w:t xml:space="preserve"> años)</w:t>
            </w:r>
          </w:p>
          <w:p w:rsidR="001918A3" w:rsidRPr="003E07B0" w:rsidRDefault="001918A3" w:rsidP="001918A3">
            <w:pPr>
              <w:jc w:val="center"/>
              <w:rPr>
                <w:rFonts w:ascii="Arial" w:hAnsi="Arial" w:cs="Arial"/>
                <w:noProof/>
                <w:lang w:eastAsia="es-ES"/>
              </w:rPr>
            </w:pPr>
            <w:r w:rsidRPr="003E07B0">
              <w:rPr>
                <w:rFonts w:ascii="Arial" w:hAnsi="Arial" w:cs="Arial"/>
                <w:noProof/>
                <w:lang w:eastAsia="es-ES"/>
              </w:rPr>
              <w:t>Por regiones</w:t>
            </w:r>
          </w:p>
        </w:tc>
      </w:tr>
      <w:tr w:rsidR="001918A3" w:rsidTr="00970500">
        <w:trPr>
          <w:jc w:val="center"/>
        </w:trPr>
        <w:tc>
          <w:tcPr>
            <w:tcW w:w="4872" w:type="dxa"/>
          </w:tcPr>
          <w:p w:rsidR="001918A3" w:rsidRDefault="00B8202C" w:rsidP="001918A3">
            <w:pPr>
              <w:spacing w:line="480" w:lineRule="auto"/>
              <w:jc w:val="center"/>
              <w:rPr>
                <w:rFonts w:ascii="Times New Roman" w:hAnsi="Times New Roman" w:cs="Times New Roman"/>
              </w:rPr>
            </w:pPr>
            <w:r w:rsidRPr="00B8202C">
              <w:rPr>
                <w:rFonts w:ascii="Times New Roman" w:hAnsi="Times New Roman" w:cs="Times New Roman"/>
                <w:noProof/>
              </w:rPr>
              <w:drawing>
                <wp:inline distT="0" distB="0" distL="0" distR="0">
                  <wp:extent cx="2933700" cy="19240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0" cy="1924050"/>
                          </a:xfrm>
                          <a:prstGeom prst="rect">
                            <a:avLst/>
                          </a:prstGeom>
                          <a:noFill/>
                          <a:ln>
                            <a:noFill/>
                          </a:ln>
                        </pic:spPr>
                      </pic:pic>
                    </a:graphicData>
                  </a:graphic>
                </wp:inline>
              </w:drawing>
            </w:r>
          </w:p>
        </w:tc>
        <w:tc>
          <w:tcPr>
            <w:tcW w:w="4698" w:type="dxa"/>
            <w:gridSpan w:val="2"/>
          </w:tcPr>
          <w:p w:rsidR="001918A3" w:rsidRDefault="00FC0917" w:rsidP="00970500">
            <w:pPr>
              <w:spacing w:line="480" w:lineRule="auto"/>
              <w:jc w:val="both"/>
              <w:rPr>
                <w:rFonts w:ascii="Times New Roman" w:hAnsi="Times New Roman" w:cs="Times New Roman"/>
              </w:rPr>
            </w:pPr>
            <w:r w:rsidRPr="00FC0917">
              <w:rPr>
                <w:rFonts w:ascii="Times New Roman" w:hAnsi="Times New Roman" w:cs="Times New Roman"/>
                <w:noProof/>
              </w:rPr>
              <w:drawing>
                <wp:inline distT="0" distB="0" distL="0" distR="0">
                  <wp:extent cx="2933700" cy="1924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1924050"/>
                          </a:xfrm>
                          <a:prstGeom prst="rect">
                            <a:avLst/>
                          </a:prstGeom>
                          <a:noFill/>
                          <a:ln>
                            <a:noFill/>
                          </a:ln>
                        </pic:spPr>
                      </pic:pic>
                    </a:graphicData>
                  </a:graphic>
                </wp:inline>
              </w:drawing>
            </w:r>
          </w:p>
        </w:tc>
      </w:tr>
      <w:tr w:rsidR="001918A3" w:rsidTr="00A13B3B">
        <w:trPr>
          <w:trHeight w:val="1421"/>
          <w:jc w:val="center"/>
        </w:trPr>
        <w:tc>
          <w:tcPr>
            <w:tcW w:w="9322" w:type="dxa"/>
            <w:gridSpan w:val="2"/>
          </w:tcPr>
          <w:p w:rsidR="001918A3" w:rsidRPr="003E07B0" w:rsidRDefault="001918A3" w:rsidP="00970500">
            <w:pPr>
              <w:jc w:val="both"/>
              <w:rPr>
                <w:rFonts w:ascii="Arial" w:hAnsi="Arial" w:cs="Arial"/>
                <w:i/>
                <w:color w:val="000000" w:themeColor="text1"/>
                <w:sz w:val="18"/>
                <w:szCs w:val="18"/>
              </w:rPr>
            </w:pPr>
            <w:r w:rsidRPr="003E07B0">
              <w:rPr>
                <w:rFonts w:ascii="Arial" w:hAnsi="Arial" w:cs="Arial"/>
                <w:i/>
                <w:noProof/>
                <w:color w:val="000000" w:themeColor="text1"/>
                <w:sz w:val="18"/>
                <w:szCs w:val="18"/>
                <w:lang w:eastAsia="es-ES"/>
              </w:rPr>
              <w:t>(</w:t>
            </w:r>
            <w:r w:rsidR="00FC0917" w:rsidRPr="003E07B0">
              <w:rPr>
                <w:rFonts w:ascii="Arial" w:hAnsi="Arial" w:cs="Arial"/>
                <w:i/>
                <w:noProof/>
                <w:color w:val="000000" w:themeColor="text1"/>
                <w:sz w:val="18"/>
                <w:szCs w:val="18"/>
                <w:lang w:eastAsia="es-ES"/>
              </w:rPr>
              <w:t>*)</w:t>
            </w:r>
            <w:r w:rsidR="00FC0917" w:rsidRPr="003E07B0">
              <w:rPr>
                <w:rFonts w:ascii="Arial" w:hAnsi="Arial" w:cs="Arial"/>
                <w:i/>
                <w:color w:val="000000" w:themeColor="text1"/>
                <w:sz w:val="18"/>
                <w:szCs w:val="18"/>
              </w:rPr>
              <w:t xml:space="preserve"> Para</w:t>
            </w:r>
            <w:r w:rsidRPr="003E07B0">
              <w:rPr>
                <w:rFonts w:ascii="Arial" w:hAnsi="Arial" w:cs="Arial"/>
                <w:i/>
                <w:color w:val="000000" w:themeColor="text1"/>
                <w:sz w:val="18"/>
                <w:szCs w:val="18"/>
              </w:rPr>
              <w:t xml:space="preserve"> el último año de la serie, se utilizan datos oficiales publicados por los gobiernos provinciales (10 de 24 provincias con datos disponibles para el ejercicio anual 2017), y estimaciones del Ministerio del Interior para aquellas provincias que no publican aun sus datos.</w:t>
            </w:r>
          </w:p>
          <w:p w:rsidR="001918A3" w:rsidRDefault="001918A3" w:rsidP="00970500">
            <w:pPr>
              <w:jc w:val="both"/>
              <w:rPr>
                <w:rFonts w:ascii="Times New Roman" w:hAnsi="Times New Roman" w:cs="Times New Roman"/>
                <w:noProof/>
                <w:lang w:eastAsia="es-ES"/>
              </w:rPr>
            </w:pPr>
            <w:r w:rsidRPr="003E07B0">
              <w:rPr>
                <w:rFonts w:ascii="Arial" w:hAnsi="Arial" w:cs="Arial"/>
                <w:i/>
                <w:color w:val="000000" w:themeColor="text1"/>
                <w:sz w:val="18"/>
                <w:szCs w:val="18"/>
              </w:rPr>
              <w:t>Elaboración Propia en base a datos del Ministerio de Hacienda, del Ministerio del Interior, y de fuentes oficiales de gobiernos provinciales.</w:t>
            </w:r>
            <w:r w:rsidR="00593912" w:rsidRPr="003E07B0">
              <w:rPr>
                <w:rFonts w:ascii="Arial" w:hAnsi="Arial" w:cs="Arial"/>
                <w:i/>
                <w:color w:val="000000" w:themeColor="text1"/>
                <w:sz w:val="18"/>
                <w:szCs w:val="18"/>
              </w:rPr>
              <w:t xml:space="preserve"> Administración Central, Organismos Descentralizados y Cuentas Especiales.</w:t>
            </w:r>
          </w:p>
        </w:tc>
        <w:tc>
          <w:tcPr>
            <w:tcW w:w="248" w:type="dxa"/>
          </w:tcPr>
          <w:p w:rsidR="001918A3" w:rsidRDefault="001918A3" w:rsidP="00970500">
            <w:pPr>
              <w:spacing w:line="480" w:lineRule="auto"/>
              <w:jc w:val="both"/>
              <w:rPr>
                <w:rFonts w:ascii="Times New Roman" w:hAnsi="Times New Roman" w:cs="Times New Roman"/>
                <w:noProof/>
                <w:lang w:eastAsia="es-ES"/>
              </w:rPr>
            </w:pPr>
          </w:p>
        </w:tc>
      </w:tr>
    </w:tbl>
    <w:p w:rsidR="001918A3" w:rsidRDefault="001918A3" w:rsidP="003976B1">
      <w:pPr>
        <w:spacing w:line="480" w:lineRule="auto"/>
        <w:jc w:val="both"/>
        <w:rPr>
          <w:rFonts w:ascii="Times New Roman" w:hAnsi="Times New Roman" w:cs="Times New Roman"/>
        </w:rPr>
      </w:pPr>
    </w:p>
    <w:p w:rsidR="003976B1" w:rsidRDefault="003976B1" w:rsidP="003E07B0">
      <w:pPr>
        <w:spacing w:after="0" w:line="360" w:lineRule="auto"/>
        <w:jc w:val="both"/>
        <w:rPr>
          <w:rFonts w:ascii="Arial" w:hAnsi="Arial" w:cs="Arial"/>
        </w:rPr>
      </w:pPr>
      <w:r w:rsidRPr="003E07B0">
        <w:rPr>
          <w:rFonts w:ascii="Arial" w:hAnsi="Arial" w:cs="Arial"/>
        </w:rPr>
        <w:t xml:space="preserve">La persistencia de una situación de deterioro fiscal en la mayor parte del período considerado (fundamentalmente en el lapso 1983-2003) ha constituido un objeto de análisis de diversos trabajos vinculados al campo de las finanzas públicas a nivel sub-nacional y </w:t>
      </w:r>
      <w:r w:rsidR="00356EBA" w:rsidRPr="003E07B0">
        <w:rPr>
          <w:rFonts w:ascii="Arial" w:hAnsi="Arial" w:cs="Arial"/>
        </w:rPr>
        <w:t>al</w:t>
      </w:r>
      <w:r w:rsidRPr="003E07B0">
        <w:rPr>
          <w:rFonts w:ascii="Arial" w:hAnsi="Arial" w:cs="Arial"/>
        </w:rPr>
        <w:t xml:space="preserve"> federalismo fiscal en Argentina, cada uno destacando una serie de determinantes que dan cuenta de la complejidad de la problemática. </w:t>
      </w:r>
    </w:p>
    <w:p w:rsidR="00C0704A" w:rsidRPr="003E07B0" w:rsidRDefault="00C0704A" w:rsidP="003E07B0">
      <w:pPr>
        <w:spacing w:after="0" w:line="360" w:lineRule="auto"/>
        <w:jc w:val="both"/>
        <w:rPr>
          <w:rFonts w:ascii="Arial" w:hAnsi="Arial" w:cs="Arial"/>
        </w:rPr>
      </w:pPr>
    </w:p>
    <w:p w:rsidR="00901A3E" w:rsidRDefault="00356EBA" w:rsidP="003E07B0">
      <w:pPr>
        <w:spacing w:after="0" w:line="360" w:lineRule="auto"/>
        <w:jc w:val="both"/>
        <w:rPr>
          <w:rFonts w:ascii="Arial" w:hAnsi="Arial" w:cs="Arial"/>
        </w:rPr>
      </w:pPr>
      <w:r w:rsidRPr="003E07B0">
        <w:rPr>
          <w:rFonts w:ascii="Arial" w:hAnsi="Arial" w:cs="Arial"/>
        </w:rPr>
        <w:t xml:space="preserve">Por caso, </w:t>
      </w:r>
      <w:r w:rsidR="005B5BE2" w:rsidRPr="003E07B0">
        <w:rPr>
          <w:rFonts w:ascii="Arial" w:hAnsi="Arial" w:cs="Arial"/>
        </w:rPr>
        <w:t>Cetrángolo et al. (2002) pone</w:t>
      </w:r>
      <w:r w:rsidR="001C02D0" w:rsidRPr="003E07B0">
        <w:rPr>
          <w:rFonts w:ascii="Arial" w:hAnsi="Arial" w:cs="Arial"/>
        </w:rPr>
        <w:t>n</w:t>
      </w:r>
      <w:r w:rsidR="005B5BE2" w:rsidRPr="003E07B0">
        <w:rPr>
          <w:rFonts w:ascii="Arial" w:hAnsi="Arial" w:cs="Arial"/>
        </w:rPr>
        <w:t xml:space="preserve"> el énfasis sobre el carácter estructural de los desequili</w:t>
      </w:r>
      <w:r w:rsidR="002D5CB5" w:rsidRPr="003E07B0">
        <w:rPr>
          <w:rFonts w:ascii="Arial" w:hAnsi="Arial" w:cs="Arial"/>
        </w:rPr>
        <w:t>brios de las cuentas públicas</w:t>
      </w:r>
      <w:r w:rsidR="001C02D0" w:rsidRPr="003E07B0">
        <w:rPr>
          <w:rFonts w:ascii="Arial" w:hAnsi="Arial" w:cs="Arial"/>
        </w:rPr>
        <w:t>,</w:t>
      </w:r>
      <w:r w:rsidR="002D5CB5" w:rsidRPr="003E07B0">
        <w:rPr>
          <w:rFonts w:ascii="Arial" w:hAnsi="Arial" w:cs="Arial"/>
        </w:rPr>
        <w:t xml:space="preserve"> que trasciende al impacto de coyunturas macroeconómicas especialmente desfavorables</w:t>
      </w:r>
      <w:r w:rsidRPr="003E07B0">
        <w:rPr>
          <w:rFonts w:ascii="Arial" w:hAnsi="Arial" w:cs="Arial"/>
        </w:rPr>
        <w:t>,</w:t>
      </w:r>
      <w:r w:rsidR="002D5CB5" w:rsidRPr="003E07B0">
        <w:rPr>
          <w:rFonts w:ascii="Arial" w:hAnsi="Arial" w:cs="Arial"/>
        </w:rPr>
        <w:t xml:space="preserve"> como la vigente a fines del modelo de la Convertibilidad. El artículo subraya la importancia del grado de desarrollo </w:t>
      </w:r>
      <w:r w:rsidR="002D5CB5" w:rsidRPr="003E07B0">
        <w:rPr>
          <w:rFonts w:ascii="Arial" w:hAnsi="Arial" w:cs="Arial"/>
          <w:color w:val="000000" w:themeColor="text1"/>
        </w:rPr>
        <w:t>productivo y la eficiencia en la gestión pública como los factores más importantes a la hora de explicar el disímil desempeño de las provincias en materia fiscal. Los autores observan que, durante la segunda mitad de la década</w:t>
      </w:r>
      <w:r w:rsidR="002D5CB5" w:rsidRPr="003E07B0">
        <w:rPr>
          <w:rFonts w:ascii="Arial" w:hAnsi="Arial" w:cs="Arial"/>
        </w:rPr>
        <w:t xml:space="preserve"> de los ’90, las jurisdicciones con mayores dificultades en materia fiscal fueron las de menor PBG per cápita, escasa autonomía y disponibilidad de </w:t>
      </w:r>
      <w:r w:rsidR="002D5CB5" w:rsidRPr="003E07B0">
        <w:rPr>
          <w:rFonts w:ascii="Arial" w:hAnsi="Arial" w:cs="Arial"/>
        </w:rPr>
        <w:lastRenderedPageBreak/>
        <w:t xml:space="preserve">recursos, poco acceso a ingresos extraordinarios y pobre calidad en materia educativa y de salud. </w:t>
      </w:r>
    </w:p>
    <w:p w:rsidR="00C0704A" w:rsidRPr="003E07B0" w:rsidRDefault="00C0704A" w:rsidP="003E07B0">
      <w:pPr>
        <w:spacing w:after="0" w:line="360" w:lineRule="auto"/>
        <w:jc w:val="both"/>
        <w:rPr>
          <w:rFonts w:ascii="Arial" w:hAnsi="Arial" w:cs="Arial"/>
        </w:rPr>
      </w:pPr>
    </w:p>
    <w:p w:rsidR="000E093F" w:rsidRDefault="000467AA" w:rsidP="003E07B0">
      <w:pPr>
        <w:spacing w:after="0" w:line="360" w:lineRule="auto"/>
        <w:jc w:val="both"/>
        <w:rPr>
          <w:rFonts w:ascii="Arial" w:hAnsi="Arial" w:cs="Arial"/>
        </w:rPr>
      </w:pPr>
      <w:r w:rsidRPr="003E07B0">
        <w:rPr>
          <w:rFonts w:ascii="Arial" w:hAnsi="Arial" w:cs="Arial"/>
        </w:rPr>
        <w:t>Adicionalmente, e</w:t>
      </w:r>
      <w:r w:rsidR="0050089A" w:rsidRPr="003E07B0">
        <w:rPr>
          <w:rFonts w:ascii="Arial" w:hAnsi="Arial" w:cs="Arial"/>
        </w:rPr>
        <w:t>l trabajo de</w:t>
      </w:r>
      <w:r w:rsidRPr="003E07B0">
        <w:rPr>
          <w:rFonts w:ascii="Arial" w:hAnsi="Arial" w:cs="Arial"/>
        </w:rPr>
        <w:t xml:space="preserve"> Rumi (2003) asocia</w:t>
      </w:r>
      <w:r w:rsidR="000E093F" w:rsidRPr="003E07B0">
        <w:rPr>
          <w:rFonts w:ascii="Arial" w:hAnsi="Arial" w:cs="Arial"/>
        </w:rPr>
        <w:t xml:space="preserve"> el desempeño fiscal de los gobiernos provinciales</w:t>
      </w:r>
      <w:r w:rsidR="009622CE" w:rsidRPr="003E07B0">
        <w:rPr>
          <w:rFonts w:ascii="Arial" w:hAnsi="Arial" w:cs="Arial"/>
        </w:rPr>
        <w:t xml:space="preserve"> con variables políticas e institucionales</w:t>
      </w:r>
      <w:r w:rsidR="00356EBA" w:rsidRPr="003E07B0">
        <w:rPr>
          <w:rFonts w:ascii="Arial" w:hAnsi="Arial" w:cs="Arial"/>
        </w:rPr>
        <w:t>,</w:t>
      </w:r>
      <w:r w:rsidR="009622CE" w:rsidRPr="003E07B0">
        <w:rPr>
          <w:rFonts w:ascii="Arial" w:hAnsi="Arial" w:cs="Arial"/>
        </w:rPr>
        <w:t xml:space="preserve"> entre las que se destaca un Índice de Alternancia Política </w:t>
      </w:r>
      <w:r w:rsidR="001C02D0" w:rsidRPr="003E07B0">
        <w:rPr>
          <w:rFonts w:ascii="Arial" w:hAnsi="Arial" w:cs="Arial"/>
        </w:rPr>
        <w:t>(IAP)</w:t>
      </w:r>
      <w:r w:rsidR="00720046" w:rsidRPr="003E07B0">
        <w:rPr>
          <w:rFonts w:ascii="Arial" w:hAnsi="Arial" w:cs="Arial"/>
        </w:rPr>
        <w:t>,</w:t>
      </w:r>
      <w:r w:rsidR="00FF0E98">
        <w:rPr>
          <w:rFonts w:ascii="Arial" w:hAnsi="Arial" w:cs="Arial"/>
        </w:rPr>
        <w:t xml:space="preserve"> </w:t>
      </w:r>
      <w:r w:rsidR="009622CE" w:rsidRPr="003E07B0">
        <w:rPr>
          <w:rFonts w:ascii="Arial" w:hAnsi="Arial" w:cs="Arial"/>
        </w:rPr>
        <w:t xml:space="preserve">que mide la probabilidad de que dos gobernadores de una provincia pertenezcan </w:t>
      </w:r>
      <w:r w:rsidR="00B93D26" w:rsidRPr="003E07B0">
        <w:rPr>
          <w:rFonts w:ascii="Arial" w:hAnsi="Arial" w:cs="Arial"/>
        </w:rPr>
        <w:t xml:space="preserve">a partidos políticos distintos, así como </w:t>
      </w:r>
      <w:r w:rsidR="00B93D26" w:rsidRPr="003E07B0">
        <w:rPr>
          <w:rFonts w:ascii="Arial" w:hAnsi="Arial" w:cs="Arial"/>
          <w:i/>
        </w:rPr>
        <w:t>dummies</w:t>
      </w:r>
      <w:r w:rsidR="00B93D26" w:rsidRPr="003E07B0">
        <w:rPr>
          <w:rFonts w:ascii="Arial" w:hAnsi="Arial" w:cs="Arial"/>
        </w:rPr>
        <w:t xml:space="preserve"> que capta</w:t>
      </w:r>
      <w:r w:rsidR="00720046" w:rsidRPr="003E07B0">
        <w:rPr>
          <w:rFonts w:ascii="Arial" w:hAnsi="Arial" w:cs="Arial"/>
        </w:rPr>
        <w:t>n</w:t>
      </w:r>
      <w:r w:rsidR="00B93D26" w:rsidRPr="003E07B0">
        <w:rPr>
          <w:rFonts w:ascii="Arial" w:hAnsi="Arial" w:cs="Arial"/>
        </w:rPr>
        <w:t xml:space="preserve"> el efecto de las intervenciones federales y los cambios anticipados en el gobierno de la provincia. A través de la implementación de un modelo de datos de panel con efectos fijos, la autora encuentra evidencia de que un mayor grado de inestabilidad política (captado tanto por el IAP</w:t>
      </w:r>
      <w:r w:rsidR="00720046" w:rsidRPr="003E07B0">
        <w:rPr>
          <w:rFonts w:ascii="Arial" w:hAnsi="Arial" w:cs="Arial"/>
        </w:rPr>
        <w:t>,</w:t>
      </w:r>
      <w:r w:rsidR="00B93D26" w:rsidRPr="003E07B0">
        <w:rPr>
          <w:rFonts w:ascii="Arial" w:hAnsi="Arial" w:cs="Arial"/>
        </w:rPr>
        <w:t xml:space="preserve"> como por la presencia de períodos irregulares de gobierno) influye negativamente sobre el desempeño fiscal. Asimismo, la posibilidad constitucional de reelección también manifiesta una relación negativa con la solidez de las cuentas públicas</w:t>
      </w:r>
      <w:r w:rsidR="001C02D0" w:rsidRPr="003E07B0">
        <w:rPr>
          <w:rFonts w:ascii="Arial" w:hAnsi="Arial" w:cs="Arial"/>
        </w:rPr>
        <w:t>,</w:t>
      </w:r>
      <w:r w:rsidR="00B93D26" w:rsidRPr="003E07B0">
        <w:rPr>
          <w:rFonts w:ascii="Arial" w:hAnsi="Arial" w:cs="Arial"/>
        </w:rPr>
        <w:t xml:space="preserve"> mientras que la menor dispersión p</w:t>
      </w:r>
      <w:r w:rsidR="00825237" w:rsidRPr="003E07B0">
        <w:rPr>
          <w:rFonts w:ascii="Arial" w:hAnsi="Arial" w:cs="Arial"/>
        </w:rPr>
        <w:t xml:space="preserve">artidaria entre el gobernador de la provincia, el presidente de la </w:t>
      </w:r>
      <w:r w:rsidR="001C02D0" w:rsidRPr="003E07B0">
        <w:rPr>
          <w:rFonts w:ascii="Arial" w:hAnsi="Arial" w:cs="Arial"/>
        </w:rPr>
        <w:t>N</w:t>
      </w:r>
      <w:r w:rsidR="00825237" w:rsidRPr="003E07B0">
        <w:rPr>
          <w:rFonts w:ascii="Arial" w:hAnsi="Arial" w:cs="Arial"/>
        </w:rPr>
        <w:t>ación y la legislatura local</w:t>
      </w:r>
      <w:r w:rsidR="00720046" w:rsidRPr="003E07B0">
        <w:rPr>
          <w:rFonts w:ascii="Arial" w:hAnsi="Arial" w:cs="Arial"/>
        </w:rPr>
        <w:t>,</w:t>
      </w:r>
      <w:r w:rsidR="00825237" w:rsidRPr="003E07B0">
        <w:rPr>
          <w:rFonts w:ascii="Arial" w:hAnsi="Arial" w:cs="Arial"/>
        </w:rPr>
        <w:t xml:space="preserve"> se vincula con un mejor desempeño fiscal. </w:t>
      </w:r>
    </w:p>
    <w:p w:rsidR="00C0704A" w:rsidRPr="003E07B0" w:rsidRDefault="00C0704A" w:rsidP="003E07B0">
      <w:pPr>
        <w:spacing w:after="0" w:line="360" w:lineRule="auto"/>
        <w:jc w:val="both"/>
        <w:rPr>
          <w:rFonts w:ascii="Arial" w:hAnsi="Arial" w:cs="Arial"/>
        </w:rPr>
      </w:pPr>
    </w:p>
    <w:p w:rsidR="00663B60" w:rsidRDefault="00663B60" w:rsidP="003E07B0">
      <w:pPr>
        <w:spacing w:after="0" w:line="360" w:lineRule="auto"/>
        <w:jc w:val="both"/>
        <w:rPr>
          <w:rFonts w:ascii="Arial" w:hAnsi="Arial" w:cs="Arial"/>
        </w:rPr>
      </w:pPr>
      <w:r w:rsidRPr="003E07B0">
        <w:rPr>
          <w:rFonts w:ascii="Arial" w:hAnsi="Arial" w:cs="Arial"/>
        </w:rPr>
        <w:t xml:space="preserve">Otro aporte </w:t>
      </w:r>
      <w:r w:rsidR="0050089A" w:rsidRPr="003E07B0">
        <w:rPr>
          <w:rFonts w:ascii="Arial" w:hAnsi="Arial" w:cs="Arial"/>
        </w:rPr>
        <w:t xml:space="preserve">que </w:t>
      </w:r>
      <w:r w:rsidRPr="003E07B0">
        <w:rPr>
          <w:rFonts w:ascii="Arial" w:hAnsi="Arial" w:cs="Arial"/>
        </w:rPr>
        <w:t xml:space="preserve">considera </w:t>
      </w:r>
      <w:r w:rsidR="0050089A" w:rsidRPr="003E07B0">
        <w:rPr>
          <w:rFonts w:ascii="Arial" w:hAnsi="Arial" w:cs="Arial"/>
        </w:rPr>
        <w:t>la influencia del contexto político-institucional sobre la solidez de las cuentas públicas subnacionales es el de Jones et al. (2000). Los autores postulan que el comportamiento fiscal de las provincias se encuentra determinado por un juego de recursos comunes que se desarrolla en dos</w:t>
      </w:r>
      <w:r w:rsidR="001208C1" w:rsidRPr="003E07B0">
        <w:rPr>
          <w:rFonts w:ascii="Arial" w:hAnsi="Arial" w:cs="Arial"/>
        </w:rPr>
        <w:t xml:space="preserve"> etapas: la primera entre el gobierno nacional y cada jurisdicción en particular y la segunda entre las propias provincias.  Este modelo resulta adecuado por las propias características del federalismo fiscal en la Argentina en que las provincias perciben a la capacidad recaudatoria del gobierno nacional como un </w:t>
      </w:r>
      <w:r w:rsidR="00176451" w:rsidRPr="003E07B0">
        <w:rPr>
          <w:rFonts w:ascii="Arial" w:hAnsi="Arial" w:cs="Arial"/>
        </w:rPr>
        <w:t xml:space="preserve">recurso común. A su vez, cada legislador local manifiesta la misma percepción respecto a la capacidad de recaudación del gobierno de su provincia (además de la nacional). El trabajo estima un modelo de datos de panel para el período 1985-1996 a través del método de Mínimos Cuadrados en 3 Etapas y encuentra evidencia significativa de que los gobernadores que pertenecen al mismo partido político que el presidente de turno gastan más que los de la oposición (disciplina partidaria), </w:t>
      </w:r>
      <w:r w:rsidR="00066DD6" w:rsidRPr="003E07B0">
        <w:rPr>
          <w:rFonts w:ascii="Arial" w:hAnsi="Arial" w:cs="Arial"/>
        </w:rPr>
        <w:t xml:space="preserve">la existencia de un ciclo político electoral en el gasto público provincial y mayor nivel de erogaciones por parte de las jurisdicciones que poseen una participación superior en la masa de recursos coparticipados. </w:t>
      </w:r>
    </w:p>
    <w:p w:rsidR="00C0704A" w:rsidRPr="003E07B0" w:rsidRDefault="00C0704A" w:rsidP="003E07B0">
      <w:pPr>
        <w:spacing w:after="0" w:line="360" w:lineRule="auto"/>
        <w:jc w:val="both"/>
        <w:rPr>
          <w:rFonts w:ascii="Arial" w:hAnsi="Arial" w:cs="Arial"/>
        </w:rPr>
      </w:pPr>
    </w:p>
    <w:p w:rsidR="002D5CB5" w:rsidRDefault="000467AA" w:rsidP="003E07B0">
      <w:pPr>
        <w:spacing w:after="0" w:line="360" w:lineRule="auto"/>
        <w:jc w:val="both"/>
        <w:rPr>
          <w:rFonts w:ascii="Arial" w:hAnsi="Arial" w:cs="Arial"/>
        </w:rPr>
      </w:pPr>
      <w:r w:rsidRPr="003E07B0">
        <w:rPr>
          <w:rFonts w:ascii="Arial" w:hAnsi="Arial" w:cs="Arial"/>
        </w:rPr>
        <w:t xml:space="preserve">Por otro lado, </w:t>
      </w:r>
      <w:r w:rsidR="002D5CB5" w:rsidRPr="003E07B0">
        <w:rPr>
          <w:rFonts w:ascii="Arial" w:hAnsi="Arial" w:cs="Arial"/>
        </w:rPr>
        <w:t>Porto y Di Gr</w:t>
      </w:r>
      <w:r w:rsidR="00DF1846" w:rsidRPr="003E07B0">
        <w:rPr>
          <w:rFonts w:ascii="Arial" w:hAnsi="Arial" w:cs="Arial"/>
        </w:rPr>
        <w:t>esia</w:t>
      </w:r>
      <w:r w:rsidR="002D5CB5" w:rsidRPr="003E07B0">
        <w:rPr>
          <w:rFonts w:ascii="Arial" w:hAnsi="Arial" w:cs="Arial"/>
        </w:rPr>
        <w:t xml:space="preserve"> (2007) </w:t>
      </w:r>
      <w:r w:rsidR="00170352" w:rsidRPr="003E07B0">
        <w:rPr>
          <w:rFonts w:ascii="Arial" w:hAnsi="Arial" w:cs="Arial"/>
        </w:rPr>
        <w:t xml:space="preserve">resaltan la influencia de las políticas del nivel nacional de gobierno sobre el resultado fiscal de las provincias. El trabajo cuantifica el impacto de cuatro grupos de medidas para el período 1983-2006: transferencia de servicios sin contrapartida de financiamiento, transferencia de cajas previsionales de las </w:t>
      </w:r>
      <w:r w:rsidR="001C02D0" w:rsidRPr="003E07B0">
        <w:rPr>
          <w:rFonts w:ascii="Arial" w:hAnsi="Arial" w:cs="Arial"/>
        </w:rPr>
        <w:t>p</w:t>
      </w:r>
      <w:r w:rsidR="00170352" w:rsidRPr="003E07B0">
        <w:rPr>
          <w:rFonts w:ascii="Arial" w:hAnsi="Arial" w:cs="Arial"/>
        </w:rPr>
        <w:t xml:space="preserve">rovincias a la Nación, cambios en el esquema de coparticipación federal de impuestos establecido en la </w:t>
      </w:r>
      <w:r w:rsidR="00170352" w:rsidRPr="003E07B0">
        <w:rPr>
          <w:rFonts w:ascii="Arial" w:hAnsi="Arial" w:cs="Arial"/>
        </w:rPr>
        <w:lastRenderedPageBreak/>
        <w:t xml:space="preserve">Ley 23.548 y el incremento en la importancia </w:t>
      </w:r>
      <w:r w:rsidR="008948A9" w:rsidRPr="003E07B0">
        <w:rPr>
          <w:rFonts w:ascii="Arial" w:hAnsi="Arial" w:cs="Arial"/>
        </w:rPr>
        <w:t xml:space="preserve">de transferencias discrecionales provenientes del Presupuesto Nacional. La evidencia expuesta indica que el efecto neto de estas políticas ha resultado claramente perjudicial para el desempeño fiscal de los gobiernos intermedios. Más aún, un ejercicio contrafáctico sugiere que, de no haberse implementado ninguna de ellas, las provincias habrían manifestado un sostenido superávit en las cuentas públicas desde el año 1992. </w:t>
      </w:r>
    </w:p>
    <w:p w:rsidR="00C0704A" w:rsidRPr="003E07B0" w:rsidRDefault="00C0704A" w:rsidP="003E07B0">
      <w:pPr>
        <w:spacing w:after="0" w:line="360" w:lineRule="auto"/>
        <w:jc w:val="both"/>
        <w:rPr>
          <w:rFonts w:ascii="Arial" w:hAnsi="Arial" w:cs="Arial"/>
        </w:rPr>
      </w:pPr>
    </w:p>
    <w:p w:rsidR="00217A32" w:rsidRDefault="00663B60" w:rsidP="003E07B0">
      <w:pPr>
        <w:spacing w:after="0" w:line="360" w:lineRule="auto"/>
        <w:jc w:val="both"/>
        <w:rPr>
          <w:rFonts w:ascii="Arial" w:hAnsi="Arial" w:cs="Arial"/>
        </w:rPr>
      </w:pPr>
      <w:r w:rsidRPr="003E07B0">
        <w:rPr>
          <w:rFonts w:ascii="Arial" w:hAnsi="Arial" w:cs="Arial"/>
        </w:rPr>
        <w:t xml:space="preserve">Esta </w:t>
      </w:r>
      <w:r w:rsidR="009622CE" w:rsidRPr="003E07B0">
        <w:rPr>
          <w:rFonts w:ascii="Arial" w:hAnsi="Arial" w:cs="Arial"/>
        </w:rPr>
        <w:t xml:space="preserve">revisión </w:t>
      </w:r>
      <w:r w:rsidR="00217A32" w:rsidRPr="003E07B0">
        <w:rPr>
          <w:rFonts w:ascii="Arial" w:hAnsi="Arial" w:cs="Arial"/>
        </w:rPr>
        <w:t xml:space="preserve">bibliográfica sugiere </w:t>
      </w:r>
      <w:r w:rsidR="009622CE" w:rsidRPr="003E07B0">
        <w:rPr>
          <w:rFonts w:ascii="Arial" w:hAnsi="Arial" w:cs="Arial"/>
        </w:rPr>
        <w:t xml:space="preserve">que el desempeño fiscal de los gobiernos </w:t>
      </w:r>
      <w:r w:rsidR="00217A32" w:rsidRPr="003E07B0">
        <w:rPr>
          <w:rFonts w:ascii="Arial" w:hAnsi="Arial" w:cs="Arial"/>
        </w:rPr>
        <w:t xml:space="preserve">provinciales </w:t>
      </w:r>
      <w:r w:rsidR="009622CE" w:rsidRPr="003E07B0">
        <w:rPr>
          <w:rFonts w:ascii="Arial" w:hAnsi="Arial" w:cs="Arial"/>
        </w:rPr>
        <w:t>constituye una variable compleja en la que influyen factores de carácter estructural, el marco institucional y legal que coordina las relaciones entre niveles de gobierno</w:t>
      </w:r>
      <w:r w:rsidR="00825237" w:rsidRPr="003E07B0">
        <w:rPr>
          <w:rFonts w:ascii="Arial" w:hAnsi="Arial" w:cs="Arial"/>
        </w:rPr>
        <w:t>y aspectos vinculados a los incentivos generados por la economía política.</w:t>
      </w:r>
    </w:p>
    <w:p w:rsidR="00C0704A" w:rsidRPr="003E07B0" w:rsidRDefault="00C0704A" w:rsidP="003E07B0">
      <w:pPr>
        <w:spacing w:after="0" w:line="360" w:lineRule="auto"/>
        <w:jc w:val="both"/>
        <w:rPr>
          <w:rFonts w:ascii="Arial" w:hAnsi="Arial" w:cs="Arial"/>
        </w:rPr>
      </w:pPr>
    </w:p>
    <w:p w:rsidR="004E14CB" w:rsidRDefault="004E14CB" w:rsidP="003E07B0">
      <w:pPr>
        <w:spacing w:after="0" w:line="360" w:lineRule="auto"/>
        <w:jc w:val="both"/>
        <w:rPr>
          <w:rFonts w:ascii="Arial" w:hAnsi="Arial" w:cs="Arial"/>
        </w:rPr>
      </w:pPr>
      <w:r w:rsidRPr="003E07B0">
        <w:rPr>
          <w:rFonts w:ascii="Arial" w:hAnsi="Arial" w:cs="Arial"/>
        </w:rPr>
        <w:t>Si bien en los últimos años el desequilibrio financiero en provincias resulta</w:t>
      </w:r>
      <w:r w:rsidR="00C80419" w:rsidRPr="003E07B0">
        <w:rPr>
          <w:rFonts w:ascii="Arial" w:hAnsi="Arial" w:cs="Arial"/>
        </w:rPr>
        <w:t xml:space="preserve"> menor al 1% del PIB (en contraste con el 6% alcanzado en 2017 a nivel del Sector Público N</w:t>
      </w:r>
      <w:r w:rsidRPr="003E07B0">
        <w:rPr>
          <w:rFonts w:ascii="Arial" w:hAnsi="Arial" w:cs="Arial"/>
        </w:rPr>
        <w:t>acional), no debe descuidarse el análisis de su evolución, especialmente en períodos de acceso al endeudamiento</w:t>
      </w:r>
      <w:r w:rsidR="009622CE" w:rsidRPr="003E07B0">
        <w:rPr>
          <w:rFonts w:ascii="Arial" w:hAnsi="Arial" w:cs="Arial"/>
        </w:rPr>
        <w:t xml:space="preserve"> en los mercados internacionales de crédito</w:t>
      </w:r>
      <w:r w:rsidRPr="003E07B0">
        <w:rPr>
          <w:rFonts w:ascii="Arial" w:hAnsi="Arial" w:cs="Arial"/>
        </w:rPr>
        <w:t xml:space="preserve">, como el actual, y por el hecho que la situación individual suele ser muy </w:t>
      </w:r>
      <w:r w:rsidR="00C80419" w:rsidRPr="003E07B0">
        <w:rPr>
          <w:rFonts w:ascii="Arial" w:hAnsi="Arial" w:cs="Arial"/>
        </w:rPr>
        <w:t>heterogénea</w:t>
      </w:r>
      <w:r w:rsidRPr="003E07B0">
        <w:rPr>
          <w:rFonts w:ascii="Arial" w:hAnsi="Arial" w:cs="Arial"/>
        </w:rPr>
        <w:t>, de modo que podría no resultar alarmante el desequilibrio a nivel consolidado, pero sí en algunos casos de provincias en particular</w:t>
      </w:r>
      <w:r w:rsidR="00217A32" w:rsidRPr="003E07B0">
        <w:rPr>
          <w:rFonts w:ascii="Arial" w:hAnsi="Arial" w:cs="Arial"/>
        </w:rPr>
        <w:t>, que luego present</w:t>
      </w:r>
      <w:r w:rsidR="0073615F" w:rsidRPr="003E07B0">
        <w:rPr>
          <w:rFonts w:ascii="Arial" w:hAnsi="Arial" w:cs="Arial"/>
        </w:rPr>
        <w:t>a</w:t>
      </w:r>
      <w:r w:rsidR="00217A32" w:rsidRPr="003E07B0">
        <w:rPr>
          <w:rFonts w:ascii="Arial" w:hAnsi="Arial" w:cs="Arial"/>
        </w:rPr>
        <w:t xml:space="preserve">n problemas y requieran de asistencia central, </w:t>
      </w:r>
      <w:r w:rsidR="0073615F" w:rsidRPr="003E07B0">
        <w:rPr>
          <w:rFonts w:ascii="Arial" w:hAnsi="Arial" w:cs="Arial"/>
        </w:rPr>
        <w:t xml:space="preserve">o terminen </w:t>
      </w:r>
      <w:r w:rsidR="00217A32" w:rsidRPr="003E07B0">
        <w:rPr>
          <w:rFonts w:ascii="Arial" w:hAnsi="Arial" w:cs="Arial"/>
        </w:rPr>
        <w:t>generando externalidades negativas para el resto de jurisdicciones</w:t>
      </w:r>
      <w:r w:rsidRPr="003E07B0">
        <w:rPr>
          <w:rFonts w:ascii="Arial" w:hAnsi="Arial" w:cs="Arial"/>
        </w:rPr>
        <w:t>.</w:t>
      </w:r>
    </w:p>
    <w:p w:rsidR="00C0704A" w:rsidRPr="003E07B0" w:rsidRDefault="00C0704A" w:rsidP="003E07B0">
      <w:pPr>
        <w:spacing w:after="0" w:line="360" w:lineRule="auto"/>
        <w:jc w:val="both"/>
        <w:rPr>
          <w:rFonts w:ascii="Arial" w:hAnsi="Arial" w:cs="Arial"/>
        </w:rPr>
      </w:pPr>
    </w:p>
    <w:p w:rsidR="0038021F" w:rsidRPr="003E07B0" w:rsidRDefault="004E14CB" w:rsidP="003E07B0">
      <w:pPr>
        <w:spacing w:after="0" w:line="360" w:lineRule="auto"/>
        <w:jc w:val="both"/>
        <w:rPr>
          <w:rFonts w:ascii="Arial" w:hAnsi="Arial" w:cs="Arial"/>
        </w:rPr>
      </w:pPr>
      <w:r w:rsidRPr="003E07B0">
        <w:rPr>
          <w:rFonts w:ascii="Arial" w:hAnsi="Arial" w:cs="Arial"/>
        </w:rPr>
        <w:t xml:space="preserve">Por tales motivos, resulta de utilidad construir un índice de fortaleza fiscal </w:t>
      </w:r>
      <w:r w:rsidR="00980D54" w:rsidRPr="003E07B0">
        <w:rPr>
          <w:rFonts w:ascii="Arial" w:hAnsi="Arial" w:cs="Arial"/>
        </w:rPr>
        <w:t xml:space="preserve">(IFF) </w:t>
      </w:r>
      <w:r w:rsidRPr="003E07B0">
        <w:rPr>
          <w:rFonts w:ascii="Arial" w:hAnsi="Arial" w:cs="Arial"/>
        </w:rPr>
        <w:t xml:space="preserve">en provincias, que permita </w:t>
      </w:r>
      <w:r w:rsidR="0073615F" w:rsidRPr="003E07B0">
        <w:rPr>
          <w:rFonts w:ascii="Arial" w:hAnsi="Arial" w:cs="Arial"/>
        </w:rPr>
        <w:t xml:space="preserve">efectuar </w:t>
      </w:r>
      <w:r w:rsidRPr="003E07B0">
        <w:rPr>
          <w:rFonts w:ascii="Arial" w:hAnsi="Arial" w:cs="Arial"/>
        </w:rPr>
        <w:t xml:space="preserve">una comparación entre provincias (y regiones), y su evolución en el tiempo. En ese caso, ¿qué variables deberían incluirse en dicho </w:t>
      </w:r>
      <w:r w:rsidR="00C80419" w:rsidRPr="003E07B0">
        <w:rPr>
          <w:rFonts w:ascii="Arial" w:hAnsi="Arial" w:cs="Arial"/>
        </w:rPr>
        <w:t>índice?</w:t>
      </w:r>
      <w:r w:rsidRPr="003E07B0">
        <w:rPr>
          <w:rFonts w:ascii="Arial" w:hAnsi="Arial" w:cs="Arial"/>
        </w:rPr>
        <w:t xml:space="preserve"> A continuación</w:t>
      </w:r>
      <w:r w:rsidR="00C80419" w:rsidRPr="003E07B0">
        <w:rPr>
          <w:rFonts w:ascii="Arial" w:hAnsi="Arial" w:cs="Arial"/>
        </w:rPr>
        <w:t>,</w:t>
      </w:r>
      <w:r w:rsidRPr="003E07B0">
        <w:rPr>
          <w:rFonts w:ascii="Arial" w:hAnsi="Arial" w:cs="Arial"/>
        </w:rPr>
        <w:t xml:space="preserve"> se presentan indicadores que </w:t>
      </w:r>
      <w:r w:rsidR="0073615F" w:rsidRPr="003E07B0">
        <w:rPr>
          <w:rFonts w:ascii="Arial" w:hAnsi="Arial" w:cs="Arial"/>
        </w:rPr>
        <w:t xml:space="preserve">podrían </w:t>
      </w:r>
      <w:r w:rsidRPr="003E07B0">
        <w:rPr>
          <w:rFonts w:ascii="Arial" w:hAnsi="Arial" w:cs="Arial"/>
        </w:rPr>
        <w:t>amerita</w:t>
      </w:r>
      <w:r w:rsidR="0073615F" w:rsidRPr="003E07B0">
        <w:rPr>
          <w:rFonts w:ascii="Arial" w:hAnsi="Arial" w:cs="Arial"/>
        </w:rPr>
        <w:t>r</w:t>
      </w:r>
      <w:r w:rsidRPr="003E07B0">
        <w:rPr>
          <w:rFonts w:ascii="Arial" w:hAnsi="Arial" w:cs="Arial"/>
        </w:rPr>
        <w:t xml:space="preserve"> formar parte de un índice como el mencionado, para luego estimar un índice general de fortaleza fiscal, y finalmente realizar algunos ejercicios</w:t>
      </w:r>
      <w:r w:rsidR="00C80419" w:rsidRPr="003E07B0">
        <w:rPr>
          <w:rFonts w:ascii="Arial" w:hAnsi="Arial" w:cs="Arial"/>
        </w:rPr>
        <w:t xml:space="preserve"> de simulación</w:t>
      </w:r>
      <w:r w:rsidR="005E4019" w:rsidRPr="003E07B0">
        <w:rPr>
          <w:rFonts w:ascii="Arial" w:hAnsi="Arial" w:cs="Arial"/>
        </w:rPr>
        <w:t xml:space="preserve"> para medir la robustez </w:t>
      </w:r>
      <w:r w:rsidR="00C80419" w:rsidRPr="003E07B0">
        <w:rPr>
          <w:rFonts w:ascii="Arial" w:hAnsi="Arial" w:cs="Arial"/>
        </w:rPr>
        <w:t>de tal índice</w:t>
      </w:r>
      <w:r w:rsidR="00FF0E98">
        <w:rPr>
          <w:rFonts w:ascii="Arial" w:hAnsi="Arial" w:cs="Arial"/>
        </w:rPr>
        <w:t xml:space="preserve"> </w:t>
      </w:r>
      <w:r w:rsidR="00C80419" w:rsidRPr="003E07B0">
        <w:rPr>
          <w:rFonts w:ascii="Arial" w:hAnsi="Arial" w:cs="Arial"/>
        </w:rPr>
        <w:t xml:space="preserve">ante modificaciones en la ponderación asignada a las dimensiones que lo componen. </w:t>
      </w:r>
    </w:p>
    <w:p w:rsidR="00EF5145" w:rsidRDefault="00B50EA9" w:rsidP="00575AC5">
      <w:pPr>
        <w:rPr>
          <w:rFonts w:ascii="Times New Roman" w:hAnsi="Times New Roman" w:cs="Times New Roman"/>
          <w:color w:val="FF0000"/>
        </w:rPr>
      </w:pPr>
      <w:r>
        <w:rPr>
          <w:rFonts w:ascii="Times New Roman" w:hAnsi="Times New Roman" w:cs="Times New Roman"/>
          <w:color w:val="FF0000"/>
        </w:rPr>
        <w:br w:type="page"/>
      </w:r>
    </w:p>
    <w:p w:rsidR="0038021F" w:rsidRPr="003E07B0" w:rsidRDefault="009151BF" w:rsidP="00EF5145">
      <w:pPr>
        <w:pStyle w:val="Ttulo1"/>
        <w:numPr>
          <w:ilvl w:val="0"/>
          <w:numId w:val="5"/>
        </w:numPr>
        <w:rPr>
          <w:rFonts w:ascii="Arial" w:hAnsi="Arial" w:cs="Arial"/>
          <w:b/>
          <w:color w:val="auto"/>
          <w:sz w:val="24"/>
          <w:szCs w:val="24"/>
        </w:rPr>
      </w:pPr>
      <w:r w:rsidRPr="003E07B0">
        <w:rPr>
          <w:rFonts w:ascii="Arial" w:hAnsi="Arial" w:cs="Arial"/>
          <w:b/>
          <w:color w:val="auto"/>
          <w:sz w:val="24"/>
          <w:szCs w:val="24"/>
        </w:rPr>
        <w:lastRenderedPageBreak/>
        <w:t>Algunos an</w:t>
      </w:r>
      <w:r w:rsidR="00F74E22" w:rsidRPr="003E07B0">
        <w:rPr>
          <w:rFonts w:ascii="Arial" w:hAnsi="Arial" w:cs="Arial"/>
          <w:b/>
          <w:color w:val="auto"/>
          <w:sz w:val="24"/>
          <w:szCs w:val="24"/>
        </w:rPr>
        <w:t>tecedentes</w:t>
      </w:r>
      <w:r w:rsidRPr="003E07B0">
        <w:rPr>
          <w:rFonts w:ascii="Arial" w:hAnsi="Arial" w:cs="Arial"/>
          <w:b/>
          <w:color w:val="auto"/>
          <w:sz w:val="24"/>
          <w:szCs w:val="24"/>
        </w:rPr>
        <w:t xml:space="preserve"> teóricos y empíricos</w:t>
      </w:r>
    </w:p>
    <w:p w:rsidR="009151BF" w:rsidRDefault="009151BF" w:rsidP="0024354E">
      <w:pPr>
        <w:spacing w:line="480" w:lineRule="auto"/>
        <w:jc w:val="both"/>
        <w:rPr>
          <w:rFonts w:ascii="Times New Roman" w:hAnsi="Times New Roman" w:cs="Times New Roman"/>
        </w:rPr>
      </w:pPr>
    </w:p>
    <w:p w:rsidR="0038021F" w:rsidRDefault="0038021F" w:rsidP="003E07B0">
      <w:pPr>
        <w:spacing w:after="0" w:line="360" w:lineRule="auto"/>
        <w:jc w:val="both"/>
        <w:rPr>
          <w:rFonts w:ascii="Arial" w:hAnsi="Arial" w:cs="Arial"/>
        </w:rPr>
      </w:pPr>
      <w:r w:rsidRPr="003E07B0">
        <w:rPr>
          <w:rFonts w:ascii="Arial" w:hAnsi="Arial" w:cs="Arial"/>
        </w:rPr>
        <w:t>Hemming y Petrie (2000)</w:t>
      </w:r>
      <w:r w:rsidR="001D460F">
        <w:rPr>
          <w:rFonts w:ascii="Arial" w:hAnsi="Arial" w:cs="Arial"/>
        </w:rPr>
        <w:t xml:space="preserve"> </w:t>
      </w:r>
      <w:r w:rsidRPr="003E07B0">
        <w:rPr>
          <w:rFonts w:ascii="Arial" w:hAnsi="Arial" w:cs="Arial"/>
        </w:rPr>
        <w:t>identifica</w:t>
      </w:r>
      <w:r w:rsidR="00D40767" w:rsidRPr="003E07B0">
        <w:rPr>
          <w:rFonts w:ascii="Arial" w:hAnsi="Arial" w:cs="Arial"/>
        </w:rPr>
        <w:t>nla vulnerabilidad fiscal c</w:t>
      </w:r>
      <w:r w:rsidRPr="003E07B0">
        <w:rPr>
          <w:rFonts w:ascii="Arial" w:hAnsi="Arial" w:cs="Arial"/>
        </w:rPr>
        <w:t>on “una s</w:t>
      </w:r>
      <w:r w:rsidR="00247C9B" w:rsidRPr="003E07B0">
        <w:rPr>
          <w:rFonts w:ascii="Arial" w:hAnsi="Arial" w:cs="Arial"/>
        </w:rPr>
        <w:t>ituación en la que el gobierno se encuentra</w:t>
      </w:r>
      <w:r w:rsidRPr="003E07B0">
        <w:rPr>
          <w:rFonts w:ascii="Arial" w:hAnsi="Arial" w:cs="Arial"/>
        </w:rPr>
        <w:t xml:space="preserve"> expuesto </w:t>
      </w:r>
      <w:r w:rsidR="00247C9B" w:rsidRPr="003E07B0">
        <w:rPr>
          <w:rFonts w:ascii="Arial" w:hAnsi="Arial" w:cs="Arial"/>
        </w:rPr>
        <w:t>a la posibilidad de fracasar en el logro de sus objetivos de política fiscal a ni</w:t>
      </w:r>
      <w:r w:rsidR="00AB2EB2" w:rsidRPr="003E07B0">
        <w:rPr>
          <w:rFonts w:ascii="Arial" w:hAnsi="Arial" w:cs="Arial"/>
        </w:rPr>
        <w:t>v</w:t>
      </w:r>
      <w:r w:rsidR="00247C9B" w:rsidRPr="003E07B0">
        <w:rPr>
          <w:rFonts w:ascii="Arial" w:hAnsi="Arial" w:cs="Arial"/>
        </w:rPr>
        <w:t>el agregado o macro-fiscal”</w:t>
      </w:r>
      <w:r w:rsidR="00247C9B" w:rsidRPr="003E07B0">
        <w:rPr>
          <w:rStyle w:val="Refdenotaalpie"/>
          <w:rFonts w:ascii="Arial" w:hAnsi="Arial" w:cs="Arial"/>
        </w:rPr>
        <w:footnoteReference w:id="5"/>
      </w:r>
      <w:r w:rsidR="00247C9B" w:rsidRPr="003E07B0">
        <w:rPr>
          <w:rFonts w:ascii="Arial" w:hAnsi="Arial" w:cs="Arial"/>
        </w:rPr>
        <w:t xml:space="preserve">. </w:t>
      </w:r>
      <w:r w:rsidR="00AB2EB2" w:rsidRPr="003E07B0">
        <w:rPr>
          <w:rFonts w:ascii="Arial" w:hAnsi="Arial" w:cs="Arial"/>
        </w:rPr>
        <w:t xml:space="preserve">Es decir, si bien la vulnerabilidad puede manifestarse a diferentes niveles de implementación de la política fiscal (agregado, sectorial o </w:t>
      </w:r>
      <w:r w:rsidR="00021E3F" w:rsidRPr="003E07B0">
        <w:rPr>
          <w:rFonts w:ascii="Arial" w:hAnsi="Arial" w:cs="Arial"/>
        </w:rPr>
        <w:t xml:space="preserve">incluso </w:t>
      </w:r>
      <w:r w:rsidR="00AB2EB2" w:rsidRPr="003E07B0">
        <w:rPr>
          <w:rFonts w:ascii="Arial" w:hAnsi="Arial" w:cs="Arial"/>
        </w:rPr>
        <w:t>por programa</w:t>
      </w:r>
      <w:r w:rsidR="00021E3F" w:rsidRPr="003E07B0">
        <w:rPr>
          <w:rFonts w:ascii="Arial" w:hAnsi="Arial" w:cs="Arial"/>
        </w:rPr>
        <w:t xml:space="preserve"> presupuestario</w:t>
      </w:r>
      <w:r w:rsidR="00AB2EB2" w:rsidRPr="003E07B0">
        <w:rPr>
          <w:rFonts w:ascii="Arial" w:hAnsi="Arial" w:cs="Arial"/>
        </w:rPr>
        <w:t>), esta perspectiva se sitúa en el primero de ellos</w:t>
      </w:r>
      <w:r w:rsidR="00D40767" w:rsidRPr="003E07B0">
        <w:rPr>
          <w:rFonts w:ascii="Arial" w:hAnsi="Arial" w:cs="Arial"/>
        </w:rPr>
        <w:t>,</w:t>
      </w:r>
      <w:r w:rsidR="00021E3F" w:rsidRPr="003E07B0">
        <w:rPr>
          <w:rFonts w:ascii="Arial" w:hAnsi="Arial" w:cs="Arial"/>
        </w:rPr>
        <w:t>e involucra el cumplimiento de</w:t>
      </w:r>
      <w:r w:rsidR="00AB2EB2" w:rsidRPr="003E07B0">
        <w:rPr>
          <w:rFonts w:ascii="Arial" w:hAnsi="Arial" w:cs="Arial"/>
        </w:rPr>
        <w:t xml:space="preserve"> tres metas fundamentales: evitar un nivel excesivo de endeudamiento y déficit fiscal, contribuir al manejo</w:t>
      </w:r>
      <w:r w:rsidR="00A24D76" w:rsidRPr="003E07B0">
        <w:rPr>
          <w:rFonts w:ascii="Arial" w:hAnsi="Arial" w:cs="Arial"/>
        </w:rPr>
        <w:t xml:space="preserve"> de la demanda efectiva y mantener alícuotas impositivas estables y razonables. </w:t>
      </w:r>
    </w:p>
    <w:p w:rsidR="00C0704A" w:rsidRPr="003E07B0" w:rsidRDefault="00C0704A" w:rsidP="003E07B0">
      <w:pPr>
        <w:spacing w:after="0" w:line="360" w:lineRule="auto"/>
        <w:jc w:val="both"/>
        <w:rPr>
          <w:rFonts w:ascii="Arial" w:hAnsi="Arial" w:cs="Arial"/>
        </w:rPr>
      </w:pPr>
    </w:p>
    <w:p w:rsidR="00B82FF1" w:rsidRDefault="00A24D76" w:rsidP="003E07B0">
      <w:pPr>
        <w:spacing w:after="0" w:line="360" w:lineRule="auto"/>
        <w:jc w:val="both"/>
        <w:rPr>
          <w:rFonts w:ascii="Arial" w:hAnsi="Arial" w:cs="Arial"/>
        </w:rPr>
      </w:pPr>
      <w:r w:rsidRPr="003E07B0">
        <w:rPr>
          <w:rFonts w:ascii="Arial" w:hAnsi="Arial" w:cs="Arial"/>
        </w:rPr>
        <w:t xml:space="preserve">En este sentido, vale aclarar que, si bien los gobiernos subnacionales no poseen responsabilidad directa sobre el manejo de la </w:t>
      </w:r>
      <w:r w:rsidR="00B82FF1" w:rsidRPr="003E07B0">
        <w:rPr>
          <w:rFonts w:ascii="Arial" w:hAnsi="Arial" w:cs="Arial"/>
        </w:rPr>
        <w:t>política macroeconómica</w:t>
      </w:r>
      <w:r w:rsidRPr="003E07B0">
        <w:rPr>
          <w:rFonts w:ascii="Arial" w:hAnsi="Arial" w:cs="Arial"/>
        </w:rPr>
        <w:t>, la elevada participación de los mismos en los ingresos y</w:t>
      </w:r>
      <w:r w:rsidR="001D460F">
        <w:rPr>
          <w:rFonts w:ascii="Arial" w:hAnsi="Arial" w:cs="Arial"/>
        </w:rPr>
        <w:t xml:space="preserve"> </w:t>
      </w:r>
      <w:r w:rsidR="00D32E78" w:rsidRPr="003E07B0">
        <w:rPr>
          <w:rFonts w:ascii="Arial" w:hAnsi="Arial" w:cs="Arial"/>
        </w:rPr>
        <w:t>erogaciones públicas en países</w:t>
      </w:r>
      <w:r w:rsidRPr="003E07B0">
        <w:rPr>
          <w:rFonts w:ascii="Arial" w:hAnsi="Arial" w:cs="Arial"/>
        </w:rPr>
        <w:t xml:space="preserve"> organizado</w:t>
      </w:r>
      <w:r w:rsidR="00D32E78" w:rsidRPr="003E07B0">
        <w:rPr>
          <w:rFonts w:ascii="Arial" w:hAnsi="Arial" w:cs="Arial"/>
        </w:rPr>
        <w:t>s</w:t>
      </w:r>
      <w:r w:rsidRPr="003E07B0">
        <w:rPr>
          <w:rFonts w:ascii="Arial" w:hAnsi="Arial" w:cs="Arial"/>
        </w:rPr>
        <w:t xml:space="preserve"> en base a un esque</w:t>
      </w:r>
      <w:r w:rsidR="00021E3F" w:rsidRPr="003E07B0">
        <w:rPr>
          <w:rFonts w:ascii="Arial" w:hAnsi="Arial" w:cs="Arial"/>
        </w:rPr>
        <w:t>ma federal como Argentina, hace</w:t>
      </w:r>
      <w:r w:rsidRPr="003E07B0">
        <w:rPr>
          <w:rFonts w:ascii="Arial" w:hAnsi="Arial" w:cs="Arial"/>
        </w:rPr>
        <w:t xml:space="preserve"> que los </w:t>
      </w:r>
      <w:r w:rsidR="00021E3F" w:rsidRPr="003E07B0">
        <w:rPr>
          <w:rFonts w:ascii="Arial" w:hAnsi="Arial" w:cs="Arial"/>
        </w:rPr>
        <w:t xml:space="preserve">objetivos planteados por Hemming y Petrie resulten </w:t>
      </w:r>
      <w:r w:rsidR="00D40767" w:rsidRPr="003E07B0">
        <w:rPr>
          <w:rFonts w:ascii="Arial" w:hAnsi="Arial" w:cs="Arial"/>
        </w:rPr>
        <w:t>también a</w:t>
      </w:r>
      <w:r w:rsidR="00021E3F" w:rsidRPr="003E07B0">
        <w:rPr>
          <w:rFonts w:ascii="Arial" w:hAnsi="Arial" w:cs="Arial"/>
        </w:rPr>
        <w:t xml:space="preserve">similables al nivel intermedio de gobierno. </w:t>
      </w:r>
      <w:r w:rsidR="00D32E78" w:rsidRPr="003E07B0">
        <w:rPr>
          <w:rFonts w:ascii="Arial" w:hAnsi="Arial" w:cs="Arial"/>
        </w:rPr>
        <w:t>En particular, la tendencia</w:t>
      </w:r>
      <w:r w:rsidR="00B82FF1" w:rsidRPr="003E07B0">
        <w:rPr>
          <w:rFonts w:ascii="Arial" w:hAnsi="Arial" w:cs="Arial"/>
        </w:rPr>
        <w:t xml:space="preserve"> en la descentralización </w:t>
      </w:r>
      <w:r w:rsidR="00D32E78" w:rsidRPr="003E07B0">
        <w:rPr>
          <w:rFonts w:ascii="Arial" w:hAnsi="Arial" w:cs="Arial"/>
        </w:rPr>
        <w:t>de las responsabilidades de gasto público</w:t>
      </w:r>
      <w:r w:rsidR="001D460F">
        <w:rPr>
          <w:rFonts w:ascii="Arial" w:hAnsi="Arial" w:cs="Arial"/>
        </w:rPr>
        <w:t xml:space="preserve"> </w:t>
      </w:r>
      <w:r w:rsidR="00D32E78" w:rsidRPr="003E07B0">
        <w:rPr>
          <w:rFonts w:ascii="Arial" w:hAnsi="Arial" w:cs="Arial"/>
        </w:rPr>
        <w:t>es reportada</w:t>
      </w:r>
      <w:r w:rsidR="00B82FF1" w:rsidRPr="003E07B0">
        <w:rPr>
          <w:rFonts w:ascii="Arial" w:hAnsi="Arial" w:cs="Arial"/>
        </w:rPr>
        <w:t xml:space="preserve"> por Jiménez y </w:t>
      </w:r>
      <w:r w:rsidR="00D32E78" w:rsidRPr="003E07B0">
        <w:rPr>
          <w:rFonts w:ascii="Arial" w:hAnsi="Arial" w:cs="Arial"/>
        </w:rPr>
        <w:t>Ter-Minassian (2011) para la mayoría de los países latinoamericanos</w:t>
      </w:r>
      <w:r w:rsidR="00D366DB" w:rsidRPr="003E07B0">
        <w:rPr>
          <w:rFonts w:ascii="Arial" w:hAnsi="Arial" w:cs="Arial"/>
        </w:rPr>
        <w:t xml:space="preserve"> desde 1985, resultando especialmente marcada en los sectores de salud y educación. </w:t>
      </w:r>
    </w:p>
    <w:p w:rsidR="00C0704A" w:rsidRPr="003E07B0" w:rsidRDefault="00C0704A" w:rsidP="003E07B0">
      <w:pPr>
        <w:spacing w:after="0" w:line="360" w:lineRule="auto"/>
        <w:jc w:val="both"/>
        <w:rPr>
          <w:rFonts w:ascii="Arial" w:hAnsi="Arial" w:cs="Arial"/>
        </w:rPr>
      </w:pPr>
    </w:p>
    <w:p w:rsidR="009927DF" w:rsidRDefault="00D32E78" w:rsidP="003E07B0">
      <w:pPr>
        <w:spacing w:after="0" w:line="360" w:lineRule="auto"/>
        <w:jc w:val="both"/>
        <w:rPr>
          <w:rFonts w:ascii="Arial" w:hAnsi="Arial" w:cs="Arial"/>
        </w:rPr>
      </w:pPr>
      <w:r w:rsidRPr="003E07B0">
        <w:rPr>
          <w:rFonts w:ascii="Arial" w:hAnsi="Arial" w:cs="Arial"/>
        </w:rPr>
        <w:t>De igual manera</w:t>
      </w:r>
      <w:r w:rsidR="009927DF" w:rsidRPr="003E07B0">
        <w:rPr>
          <w:rFonts w:ascii="Arial" w:hAnsi="Arial" w:cs="Arial"/>
        </w:rPr>
        <w:t>,</w:t>
      </w:r>
      <w:r w:rsidRPr="003E07B0">
        <w:rPr>
          <w:rFonts w:ascii="Arial" w:hAnsi="Arial" w:cs="Arial"/>
        </w:rPr>
        <w:t xml:space="preserve"> el endeudamiento excesivo no resulta una problemática ajena al nivel de gobierno subnacional. Por caso,</w:t>
      </w:r>
      <w:r w:rsidR="009927DF" w:rsidRPr="003E07B0">
        <w:rPr>
          <w:rFonts w:ascii="Arial" w:hAnsi="Arial" w:cs="Arial"/>
        </w:rPr>
        <w:t xml:space="preserve"> Jiménez y Ruelas (2016) destacan la experiencia de creciente </w:t>
      </w:r>
      <w:r w:rsidRPr="003E07B0">
        <w:rPr>
          <w:rFonts w:ascii="Arial" w:hAnsi="Arial" w:cs="Arial"/>
        </w:rPr>
        <w:t xml:space="preserve">acumulación de pasivos públicos de las provincias argentinas </w:t>
      </w:r>
      <w:r w:rsidR="009927DF" w:rsidRPr="003E07B0">
        <w:rPr>
          <w:rFonts w:ascii="Arial" w:hAnsi="Arial" w:cs="Arial"/>
        </w:rPr>
        <w:t>durante la década de los ’90, facilitada por la posibilidad de garantizar las obligaciones contraídas a través de la emisión de títulos o con el propio sector bancario</w:t>
      </w:r>
      <w:r w:rsidR="00036809" w:rsidRPr="003E07B0">
        <w:rPr>
          <w:rFonts w:ascii="Arial" w:hAnsi="Arial" w:cs="Arial"/>
        </w:rPr>
        <w:t>,</w:t>
      </w:r>
      <w:r w:rsidR="009927DF" w:rsidRPr="003E07B0">
        <w:rPr>
          <w:rFonts w:ascii="Arial" w:hAnsi="Arial" w:cs="Arial"/>
        </w:rPr>
        <w:t xml:space="preserve"> con </w:t>
      </w:r>
      <w:r w:rsidR="000C612D" w:rsidRPr="003E07B0">
        <w:rPr>
          <w:rFonts w:ascii="Arial" w:hAnsi="Arial" w:cs="Arial"/>
        </w:rPr>
        <w:t xml:space="preserve">los </w:t>
      </w:r>
      <w:r w:rsidR="009927DF" w:rsidRPr="003E07B0">
        <w:rPr>
          <w:rFonts w:ascii="Arial" w:hAnsi="Arial" w:cs="Arial"/>
        </w:rPr>
        <w:t xml:space="preserve">ingresos obtenidos vía </w:t>
      </w:r>
      <w:r w:rsidR="000C612D" w:rsidRPr="003E07B0">
        <w:rPr>
          <w:rFonts w:ascii="Arial" w:hAnsi="Arial" w:cs="Arial"/>
        </w:rPr>
        <w:t>transferencias automáticas de recursos coparticipables</w:t>
      </w:r>
      <w:r w:rsidR="00D40767" w:rsidRPr="003E07B0">
        <w:rPr>
          <w:rFonts w:ascii="Arial" w:hAnsi="Arial" w:cs="Arial"/>
        </w:rPr>
        <w:t xml:space="preserve"> o regalías hidrocarburíferas</w:t>
      </w:r>
      <w:r w:rsidR="000C612D" w:rsidRPr="003E07B0">
        <w:rPr>
          <w:rFonts w:ascii="Arial" w:hAnsi="Arial" w:cs="Arial"/>
        </w:rPr>
        <w:t xml:space="preserve">. La </w:t>
      </w:r>
      <w:r w:rsidR="00D366DB" w:rsidRPr="003E07B0">
        <w:rPr>
          <w:rFonts w:ascii="Arial" w:hAnsi="Arial" w:cs="Arial"/>
        </w:rPr>
        <w:t>pronunciada</w:t>
      </w:r>
      <w:r w:rsidR="000C612D" w:rsidRPr="003E07B0">
        <w:rPr>
          <w:rFonts w:ascii="Arial" w:hAnsi="Arial" w:cs="Arial"/>
        </w:rPr>
        <w:t xml:space="preserve"> disminución de la recaudación propia y la elevada carga de servicios de deuda de los gobiernos provinciales y municipales son </w:t>
      </w:r>
      <w:r w:rsidR="001D460F" w:rsidRPr="003E07B0">
        <w:rPr>
          <w:rFonts w:ascii="Arial" w:hAnsi="Arial" w:cs="Arial"/>
        </w:rPr>
        <w:t>consideradas</w:t>
      </w:r>
      <w:r w:rsidR="000C612D" w:rsidRPr="003E07B0">
        <w:rPr>
          <w:rFonts w:ascii="Arial" w:hAnsi="Arial" w:cs="Arial"/>
        </w:rPr>
        <w:t xml:space="preserve"> por los autores como rasgos distintivos de la crisis fiscal de fines de la década. </w:t>
      </w:r>
    </w:p>
    <w:p w:rsidR="00C0704A" w:rsidRPr="003E07B0" w:rsidRDefault="00C0704A" w:rsidP="003E07B0">
      <w:pPr>
        <w:spacing w:after="0" w:line="360" w:lineRule="auto"/>
        <w:jc w:val="both"/>
        <w:rPr>
          <w:rFonts w:ascii="Arial" w:hAnsi="Arial" w:cs="Arial"/>
        </w:rPr>
      </w:pPr>
    </w:p>
    <w:p w:rsidR="00A7664E" w:rsidRDefault="00D40767" w:rsidP="003E07B0">
      <w:pPr>
        <w:spacing w:after="0" w:line="360" w:lineRule="auto"/>
        <w:jc w:val="both"/>
        <w:rPr>
          <w:rFonts w:ascii="Arial" w:hAnsi="Arial" w:cs="Arial"/>
        </w:rPr>
      </w:pPr>
      <w:r w:rsidRPr="003E07B0">
        <w:rPr>
          <w:rFonts w:ascii="Arial" w:hAnsi="Arial" w:cs="Arial"/>
        </w:rPr>
        <w:t xml:space="preserve">A continuación, se recuerdan </w:t>
      </w:r>
      <w:r w:rsidR="00D366DB" w:rsidRPr="003E07B0">
        <w:rPr>
          <w:rFonts w:ascii="Arial" w:hAnsi="Arial" w:cs="Arial"/>
        </w:rPr>
        <w:t>las</w:t>
      </w:r>
      <w:r w:rsidR="00426581" w:rsidRPr="003E07B0">
        <w:rPr>
          <w:rFonts w:ascii="Arial" w:hAnsi="Arial" w:cs="Arial"/>
        </w:rPr>
        <w:t xml:space="preserve"> cuatro dimensiones</w:t>
      </w:r>
      <w:r w:rsidR="00D366DB" w:rsidRPr="003E07B0">
        <w:rPr>
          <w:rFonts w:ascii="Arial" w:hAnsi="Arial" w:cs="Arial"/>
        </w:rPr>
        <w:t xml:space="preserve"> vinculadas con </w:t>
      </w:r>
      <w:r w:rsidRPr="003E07B0">
        <w:rPr>
          <w:rFonts w:ascii="Arial" w:hAnsi="Arial" w:cs="Arial"/>
        </w:rPr>
        <w:t xml:space="preserve">la vulnerabilidad fiscal </w:t>
      </w:r>
      <w:r w:rsidR="00D366DB" w:rsidRPr="003E07B0">
        <w:rPr>
          <w:rFonts w:ascii="Arial" w:hAnsi="Arial" w:cs="Arial"/>
        </w:rPr>
        <w:t xml:space="preserve">sugeridas por Hemming y Petrie: </w:t>
      </w:r>
    </w:p>
    <w:p w:rsidR="003E07B0" w:rsidRPr="003E07B0" w:rsidRDefault="003E07B0" w:rsidP="003E07B0">
      <w:pPr>
        <w:spacing w:after="0" w:line="360" w:lineRule="auto"/>
        <w:jc w:val="both"/>
        <w:rPr>
          <w:rFonts w:ascii="Arial" w:hAnsi="Arial" w:cs="Arial"/>
        </w:rPr>
      </w:pPr>
    </w:p>
    <w:p w:rsidR="006210A3" w:rsidRPr="003E07B0" w:rsidRDefault="00426581" w:rsidP="003E07B0">
      <w:pPr>
        <w:pStyle w:val="Prrafodelista"/>
        <w:numPr>
          <w:ilvl w:val="0"/>
          <w:numId w:val="2"/>
        </w:numPr>
        <w:spacing w:after="0" w:line="360" w:lineRule="auto"/>
        <w:jc w:val="both"/>
        <w:rPr>
          <w:rFonts w:ascii="Arial" w:hAnsi="Arial" w:cs="Arial"/>
          <w:b/>
        </w:rPr>
      </w:pPr>
      <w:r w:rsidRPr="003E07B0">
        <w:rPr>
          <w:rFonts w:ascii="Arial" w:hAnsi="Arial" w:cs="Arial"/>
          <w:b/>
        </w:rPr>
        <w:t xml:space="preserve">Posición fiscal inicial: </w:t>
      </w:r>
      <w:r w:rsidRPr="003E07B0">
        <w:rPr>
          <w:rFonts w:ascii="Arial" w:hAnsi="Arial" w:cs="Arial"/>
        </w:rPr>
        <w:t>la misma se encuentra asociada al nivel actual de déficit y deuda pública</w:t>
      </w:r>
      <w:r w:rsidR="00073DFB" w:rsidRPr="003E07B0">
        <w:rPr>
          <w:rFonts w:ascii="Arial" w:hAnsi="Arial" w:cs="Arial"/>
        </w:rPr>
        <w:t xml:space="preserve"> afrontada por la unidad de gobierno en cuestión. En la medida en que estas variables asuman valores más elevados, la posición fiscal se considerará más débil</w:t>
      </w:r>
      <w:r w:rsidR="003247AE" w:rsidRPr="003E07B0">
        <w:rPr>
          <w:rFonts w:ascii="Arial" w:hAnsi="Arial" w:cs="Arial"/>
        </w:rPr>
        <w:t>,</w:t>
      </w:r>
      <w:r w:rsidR="00073DFB" w:rsidRPr="003E07B0">
        <w:rPr>
          <w:rFonts w:ascii="Arial" w:hAnsi="Arial" w:cs="Arial"/>
        </w:rPr>
        <w:t xml:space="preserve"> ya que existirá menos espacio para responder a shocks macroeconómicos imprevistos. Así, se impone tomar en cuenta aspectos como la evolución del stock de deuda pública y la cobertura de pasivos contingentes. También las alícuotas impositivas elevadas son percibidas como síntomas de mayor vulnerabilidad. </w:t>
      </w:r>
    </w:p>
    <w:p w:rsidR="00EC1AD2" w:rsidRPr="003E07B0" w:rsidRDefault="00EC1AD2" w:rsidP="003E07B0">
      <w:pPr>
        <w:pStyle w:val="Prrafodelista"/>
        <w:spacing w:after="0" w:line="360" w:lineRule="auto"/>
        <w:jc w:val="both"/>
        <w:rPr>
          <w:rFonts w:ascii="Arial" w:hAnsi="Arial" w:cs="Arial"/>
          <w:b/>
        </w:rPr>
      </w:pPr>
    </w:p>
    <w:p w:rsidR="00EC1AD2" w:rsidRPr="003E07B0" w:rsidRDefault="00073DFB" w:rsidP="003E07B0">
      <w:pPr>
        <w:pStyle w:val="Prrafodelista"/>
        <w:numPr>
          <w:ilvl w:val="0"/>
          <w:numId w:val="2"/>
        </w:numPr>
        <w:spacing w:after="0" w:line="360" w:lineRule="auto"/>
        <w:jc w:val="both"/>
        <w:rPr>
          <w:rFonts w:ascii="Arial" w:hAnsi="Arial" w:cs="Arial"/>
          <w:b/>
        </w:rPr>
      </w:pPr>
      <w:r w:rsidRPr="003E07B0">
        <w:rPr>
          <w:rFonts w:ascii="Arial" w:hAnsi="Arial" w:cs="Arial"/>
          <w:b/>
        </w:rPr>
        <w:t xml:space="preserve">Riesgos fiscales de corto plazo: </w:t>
      </w:r>
      <w:r w:rsidRPr="003E07B0">
        <w:rPr>
          <w:rFonts w:ascii="Arial" w:hAnsi="Arial" w:cs="Arial"/>
        </w:rPr>
        <w:t xml:space="preserve">este aspecto requiere analizar la sensibilidad de los indicadores fiscales considerados inicialmente ante variaciones en los supuestos o pautas macroeconómicas consideradas para su proyección. Los autores sugieren la elaboración de un pronóstico de corto plazo a partir de la posición fiscal inicial que alcance un horizonte de, al menos, dos años. </w:t>
      </w:r>
    </w:p>
    <w:p w:rsidR="00EC1AD2" w:rsidRPr="003E07B0" w:rsidRDefault="00EC1AD2" w:rsidP="003E07B0">
      <w:pPr>
        <w:pStyle w:val="Prrafodelista"/>
        <w:spacing w:after="0" w:line="360" w:lineRule="auto"/>
        <w:rPr>
          <w:rFonts w:ascii="Arial" w:hAnsi="Arial" w:cs="Arial"/>
          <w:b/>
        </w:rPr>
      </w:pPr>
    </w:p>
    <w:p w:rsidR="00EC1AD2" w:rsidRPr="003E07B0" w:rsidRDefault="00073DFB" w:rsidP="003E07B0">
      <w:pPr>
        <w:pStyle w:val="Prrafodelista"/>
        <w:numPr>
          <w:ilvl w:val="0"/>
          <w:numId w:val="2"/>
        </w:numPr>
        <w:spacing w:after="0" w:line="360" w:lineRule="auto"/>
        <w:jc w:val="both"/>
        <w:rPr>
          <w:rFonts w:ascii="Arial" w:hAnsi="Arial" w:cs="Arial"/>
          <w:b/>
        </w:rPr>
      </w:pPr>
      <w:r w:rsidRPr="003E07B0">
        <w:rPr>
          <w:rFonts w:ascii="Arial" w:hAnsi="Arial" w:cs="Arial"/>
          <w:b/>
        </w:rPr>
        <w:t xml:space="preserve">Sostenibilidad fiscal de largo plazo: </w:t>
      </w:r>
      <w:r w:rsidRPr="003E07B0">
        <w:rPr>
          <w:rFonts w:ascii="Arial" w:hAnsi="Arial" w:cs="Arial"/>
        </w:rPr>
        <w:t>e</w:t>
      </w:r>
      <w:r w:rsidR="006210A3" w:rsidRPr="003E07B0">
        <w:rPr>
          <w:rFonts w:ascii="Arial" w:hAnsi="Arial" w:cs="Arial"/>
        </w:rPr>
        <w:t xml:space="preserve">l tratamiento de esta dimensión requiere incorporar un análisis estándar de dinámica de la deuda pública a fin de determinar el impacto de políticas fiscales pasadas y actuales en la sostenibilidad de largo plazo. Si existe información disponible, los autores recomiendan complementarlo con indicadores de mercado como la calificación de los bonos del gobierno o la prima de riesgo implícita en la tasa de interés afrontada.   </w:t>
      </w:r>
    </w:p>
    <w:p w:rsidR="00EC1AD2" w:rsidRPr="003E07B0" w:rsidRDefault="00EC1AD2" w:rsidP="003E07B0">
      <w:pPr>
        <w:pStyle w:val="Prrafodelista"/>
        <w:spacing w:after="0" w:line="360" w:lineRule="auto"/>
        <w:jc w:val="both"/>
        <w:rPr>
          <w:rFonts w:ascii="Arial" w:hAnsi="Arial" w:cs="Arial"/>
          <w:b/>
        </w:rPr>
      </w:pPr>
    </w:p>
    <w:p w:rsidR="00A7664E" w:rsidRPr="003E07B0" w:rsidRDefault="006210A3" w:rsidP="003E07B0">
      <w:pPr>
        <w:pStyle w:val="Prrafodelista"/>
        <w:numPr>
          <w:ilvl w:val="0"/>
          <w:numId w:val="2"/>
        </w:numPr>
        <w:spacing w:after="0" w:line="360" w:lineRule="auto"/>
        <w:jc w:val="both"/>
        <w:rPr>
          <w:rFonts w:ascii="Arial" w:hAnsi="Arial" w:cs="Arial"/>
          <w:b/>
        </w:rPr>
      </w:pPr>
      <w:r w:rsidRPr="003E07B0">
        <w:rPr>
          <w:rFonts w:ascii="Arial" w:hAnsi="Arial" w:cs="Arial"/>
          <w:b/>
        </w:rPr>
        <w:t xml:space="preserve">Debilidad estructural: </w:t>
      </w:r>
      <w:r w:rsidRPr="003E07B0">
        <w:rPr>
          <w:rFonts w:ascii="Arial" w:hAnsi="Arial" w:cs="Arial"/>
        </w:rPr>
        <w:t xml:space="preserve">esta última </w:t>
      </w:r>
      <w:r w:rsidR="005B34FD" w:rsidRPr="003E07B0">
        <w:rPr>
          <w:rFonts w:ascii="Arial" w:hAnsi="Arial" w:cs="Arial"/>
        </w:rPr>
        <w:t>faceta</w:t>
      </w:r>
      <w:r w:rsidRPr="003E07B0">
        <w:rPr>
          <w:rFonts w:ascii="Arial" w:hAnsi="Arial" w:cs="Arial"/>
        </w:rPr>
        <w:t xml:space="preserve"> se encuentra relacionada con </w:t>
      </w:r>
      <w:r w:rsidR="00152173" w:rsidRPr="003E07B0">
        <w:rPr>
          <w:rFonts w:ascii="Arial" w:hAnsi="Arial" w:cs="Arial"/>
        </w:rPr>
        <w:t xml:space="preserve">la composición de los ingresos y gastos gubernamentales. </w:t>
      </w:r>
      <w:r w:rsidR="00437DF2" w:rsidRPr="003E07B0">
        <w:rPr>
          <w:rFonts w:ascii="Arial" w:hAnsi="Arial" w:cs="Arial"/>
        </w:rPr>
        <w:t xml:space="preserve">En </w:t>
      </w:r>
      <w:r w:rsidR="00B31574" w:rsidRPr="003E07B0">
        <w:rPr>
          <w:rFonts w:ascii="Arial" w:hAnsi="Arial" w:cs="Arial"/>
        </w:rPr>
        <w:t xml:space="preserve">este sentido, los autores subrayan </w:t>
      </w:r>
      <w:r w:rsidR="005B094F" w:rsidRPr="003E07B0">
        <w:rPr>
          <w:rFonts w:ascii="Arial" w:hAnsi="Arial" w:cs="Arial"/>
        </w:rPr>
        <w:t>la presencia de cinco</w:t>
      </w:r>
      <w:r w:rsidR="00EA2226">
        <w:rPr>
          <w:rFonts w:ascii="Arial" w:hAnsi="Arial" w:cs="Arial"/>
        </w:rPr>
        <w:t xml:space="preserve"> </w:t>
      </w:r>
      <w:r w:rsidR="00EC1AD2" w:rsidRPr="003E07B0">
        <w:rPr>
          <w:rFonts w:ascii="Arial" w:hAnsi="Arial" w:cs="Arial"/>
        </w:rPr>
        <w:t>fuentes</w:t>
      </w:r>
      <w:r w:rsidR="00EA2226">
        <w:rPr>
          <w:rFonts w:ascii="Arial" w:hAnsi="Arial" w:cs="Arial"/>
        </w:rPr>
        <w:t xml:space="preserve"> </w:t>
      </w:r>
      <w:r w:rsidR="005B094F" w:rsidRPr="003E07B0">
        <w:rPr>
          <w:rFonts w:ascii="Arial" w:hAnsi="Arial" w:cs="Arial"/>
        </w:rPr>
        <w:t>principales</w:t>
      </w:r>
      <w:r w:rsidR="00EA2226">
        <w:rPr>
          <w:rFonts w:ascii="Arial" w:hAnsi="Arial" w:cs="Arial"/>
        </w:rPr>
        <w:t xml:space="preserve"> </w:t>
      </w:r>
      <w:r w:rsidR="00B31574" w:rsidRPr="003E07B0">
        <w:rPr>
          <w:rFonts w:ascii="Arial" w:hAnsi="Arial" w:cs="Arial"/>
        </w:rPr>
        <w:t xml:space="preserve">de vulnerabilidad fiscal: </w:t>
      </w:r>
      <w:r w:rsidR="00EC1AD2" w:rsidRPr="003E07B0">
        <w:rPr>
          <w:rFonts w:ascii="Arial" w:hAnsi="Arial" w:cs="Arial"/>
        </w:rPr>
        <w:t xml:space="preserve">elevada proporción de erogaciones no discrecionales en el total de gastos, erogaciones inflexibles a la baja debido a la </w:t>
      </w:r>
      <w:r w:rsidR="005B094F" w:rsidRPr="003E07B0">
        <w:rPr>
          <w:rFonts w:ascii="Arial" w:hAnsi="Arial" w:cs="Arial"/>
        </w:rPr>
        <w:t>presión de grupos de interés favorecidos por las mismas, ingresos dominados por pocos impuestos con bases imponibles estrechas, capacidad institucional para la administración fiscal y reput</w:t>
      </w:r>
      <w:r w:rsidR="00FB737C" w:rsidRPr="003E07B0">
        <w:rPr>
          <w:rFonts w:ascii="Arial" w:hAnsi="Arial" w:cs="Arial"/>
        </w:rPr>
        <w:t xml:space="preserve">ación general de inefectividad por parte del gobierno. </w:t>
      </w:r>
    </w:p>
    <w:p w:rsidR="004C157E" w:rsidRPr="003E07B0" w:rsidRDefault="004C157E" w:rsidP="003E07B0">
      <w:pPr>
        <w:pStyle w:val="Prrafodelista"/>
        <w:spacing w:after="0" w:line="360" w:lineRule="auto"/>
        <w:rPr>
          <w:rFonts w:ascii="Arial" w:hAnsi="Arial" w:cs="Arial"/>
          <w:b/>
        </w:rPr>
      </w:pPr>
    </w:p>
    <w:p w:rsidR="004C157E" w:rsidRPr="003E07B0" w:rsidRDefault="004C157E" w:rsidP="003E07B0">
      <w:pPr>
        <w:spacing w:after="0" w:line="360" w:lineRule="auto"/>
        <w:jc w:val="both"/>
        <w:rPr>
          <w:rFonts w:ascii="Arial" w:hAnsi="Arial" w:cs="Arial"/>
        </w:rPr>
      </w:pPr>
      <w:r w:rsidRPr="003E07B0">
        <w:rPr>
          <w:rFonts w:ascii="Arial" w:hAnsi="Arial" w:cs="Arial"/>
        </w:rPr>
        <w:t>Si bien estos cuatro rasgos de la vulnera</w:t>
      </w:r>
      <w:r w:rsidR="00B82FF1" w:rsidRPr="003E07B0">
        <w:rPr>
          <w:rFonts w:ascii="Arial" w:hAnsi="Arial" w:cs="Arial"/>
        </w:rPr>
        <w:t xml:space="preserve">bilidad fiscal se encuentran plenamente interrelacionados, no puede soslayarse el hecho de que, en el caso particular de las provincias argentinas, algunos de ellos se presentan con mayor nitidez. </w:t>
      </w:r>
      <w:r w:rsidR="00D366DB" w:rsidRPr="003E07B0">
        <w:rPr>
          <w:rFonts w:ascii="Arial" w:hAnsi="Arial" w:cs="Arial"/>
        </w:rPr>
        <w:t>Efectivamente,</w:t>
      </w:r>
      <w:r w:rsidR="00EE7503" w:rsidRPr="003E07B0">
        <w:rPr>
          <w:rFonts w:ascii="Arial" w:hAnsi="Arial" w:cs="Arial"/>
        </w:rPr>
        <w:t xml:space="preserve"> la confluencia de</w:t>
      </w:r>
      <w:r w:rsidR="00EC4274" w:rsidRPr="003E07B0">
        <w:rPr>
          <w:rFonts w:ascii="Arial" w:hAnsi="Arial" w:cs="Arial"/>
        </w:rPr>
        <w:t xml:space="preserve">los procesos de descentralización del gasto y profundización </w:t>
      </w:r>
      <w:r w:rsidR="00036809" w:rsidRPr="003E07B0">
        <w:rPr>
          <w:rFonts w:ascii="Arial" w:hAnsi="Arial" w:cs="Arial"/>
        </w:rPr>
        <w:t xml:space="preserve">de </w:t>
      </w:r>
      <w:r w:rsidR="00EC4274" w:rsidRPr="003E07B0">
        <w:rPr>
          <w:rFonts w:ascii="Arial" w:hAnsi="Arial" w:cs="Arial"/>
        </w:rPr>
        <w:t xml:space="preserve">desequilibrios verticales </w:t>
      </w:r>
      <w:r w:rsidR="003247AE" w:rsidRPr="003E07B0">
        <w:rPr>
          <w:rFonts w:ascii="Arial" w:hAnsi="Arial" w:cs="Arial"/>
        </w:rPr>
        <w:t>p</w:t>
      </w:r>
      <w:r w:rsidR="00EE7503" w:rsidRPr="003E07B0">
        <w:rPr>
          <w:rFonts w:ascii="Arial" w:hAnsi="Arial" w:cs="Arial"/>
        </w:rPr>
        <w:t>uede</w:t>
      </w:r>
      <w:r w:rsidR="00EC4274" w:rsidRPr="003E07B0">
        <w:rPr>
          <w:rFonts w:ascii="Arial" w:hAnsi="Arial" w:cs="Arial"/>
        </w:rPr>
        <w:t xml:space="preserve"> inscribirse dentro de la dimensión de debilidad estructural. En el mismo sentido, </w:t>
      </w:r>
      <w:r w:rsidR="00EE7503" w:rsidRPr="003E07B0">
        <w:rPr>
          <w:rFonts w:ascii="Arial" w:hAnsi="Arial" w:cs="Arial"/>
        </w:rPr>
        <w:t xml:space="preserve">la posición fiscal inicial adquiere relevancia por la constatación de períodos de persistente deterioro en la situación de las cuentas públicas subnacionales. </w:t>
      </w:r>
    </w:p>
    <w:p w:rsidR="00FB737C" w:rsidRPr="00644F0F" w:rsidRDefault="004C157E" w:rsidP="00EF5145">
      <w:pPr>
        <w:pStyle w:val="Ttulo1"/>
        <w:numPr>
          <w:ilvl w:val="0"/>
          <w:numId w:val="5"/>
        </w:numPr>
        <w:rPr>
          <w:rFonts w:ascii="Arial" w:hAnsi="Arial" w:cs="Arial"/>
          <w:b/>
          <w:color w:val="auto"/>
          <w:sz w:val="24"/>
          <w:szCs w:val="24"/>
        </w:rPr>
      </w:pPr>
      <w:r w:rsidRPr="00644F0F">
        <w:rPr>
          <w:rFonts w:ascii="Arial" w:hAnsi="Arial" w:cs="Arial"/>
          <w:b/>
          <w:color w:val="auto"/>
          <w:sz w:val="24"/>
          <w:szCs w:val="24"/>
        </w:rPr>
        <w:t>Construcción de un Índice de Fortaleza Fiscal para las provincias argentinas</w:t>
      </w:r>
    </w:p>
    <w:p w:rsidR="002B2797" w:rsidRPr="00644F0F" w:rsidRDefault="002B2797" w:rsidP="0044242D">
      <w:pPr>
        <w:spacing w:line="480" w:lineRule="auto"/>
        <w:jc w:val="both"/>
        <w:rPr>
          <w:rFonts w:ascii="Arial" w:hAnsi="Arial" w:cs="Arial"/>
          <w:sz w:val="24"/>
          <w:szCs w:val="24"/>
        </w:rPr>
      </w:pPr>
    </w:p>
    <w:p w:rsidR="00B8202C" w:rsidRDefault="002B2797" w:rsidP="00644F0F">
      <w:pPr>
        <w:spacing w:after="0" w:line="360" w:lineRule="auto"/>
        <w:jc w:val="both"/>
        <w:rPr>
          <w:rFonts w:ascii="Arial" w:hAnsi="Arial" w:cs="Arial"/>
        </w:rPr>
      </w:pPr>
      <w:r w:rsidRPr="00644F0F">
        <w:rPr>
          <w:rFonts w:ascii="Arial" w:hAnsi="Arial" w:cs="Arial"/>
        </w:rPr>
        <w:t xml:space="preserve">En base a </w:t>
      </w:r>
      <w:r w:rsidR="003247AE" w:rsidRPr="00644F0F">
        <w:rPr>
          <w:rFonts w:ascii="Arial" w:hAnsi="Arial" w:cs="Arial"/>
        </w:rPr>
        <w:t xml:space="preserve">un repaso de la </w:t>
      </w:r>
      <w:r w:rsidRPr="00644F0F">
        <w:rPr>
          <w:rFonts w:ascii="Arial" w:hAnsi="Arial" w:cs="Arial"/>
        </w:rPr>
        <w:t>literatura</w:t>
      </w:r>
      <w:r w:rsidR="00EA2226">
        <w:rPr>
          <w:rFonts w:ascii="Arial" w:hAnsi="Arial" w:cs="Arial"/>
        </w:rPr>
        <w:t xml:space="preserve"> </w:t>
      </w:r>
      <w:r w:rsidRPr="00644F0F">
        <w:rPr>
          <w:rFonts w:ascii="Arial" w:hAnsi="Arial" w:cs="Arial"/>
        </w:rPr>
        <w:t xml:space="preserve">y a las características fiscales propias de las provincias y la economía argentina, </w:t>
      </w:r>
      <w:r w:rsidR="003247AE" w:rsidRPr="00644F0F">
        <w:rPr>
          <w:rFonts w:ascii="Arial" w:hAnsi="Arial" w:cs="Arial"/>
        </w:rPr>
        <w:t>se proponen los siguientes 10 indicadores</w:t>
      </w:r>
      <w:r w:rsidR="00EA2226">
        <w:rPr>
          <w:rFonts w:ascii="Arial" w:hAnsi="Arial" w:cs="Arial"/>
        </w:rPr>
        <w:t xml:space="preserve"> </w:t>
      </w:r>
      <w:r w:rsidRPr="00644F0F">
        <w:rPr>
          <w:rFonts w:ascii="Arial" w:hAnsi="Arial" w:cs="Arial"/>
        </w:rPr>
        <w:t xml:space="preserve">para la construcción de un </w:t>
      </w:r>
      <w:r w:rsidRPr="00644F0F">
        <w:rPr>
          <w:rFonts w:ascii="Arial" w:hAnsi="Arial" w:cs="Arial"/>
          <w:b/>
        </w:rPr>
        <w:t xml:space="preserve">Índice de Fortaleza Fiscal </w:t>
      </w:r>
      <w:r w:rsidR="003247AE" w:rsidRPr="00644F0F">
        <w:rPr>
          <w:rFonts w:ascii="Arial" w:hAnsi="Arial" w:cs="Arial"/>
          <w:b/>
        </w:rPr>
        <w:t>(IFF)</w:t>
      </w:r>
      <w:r w:rsidRPr="00644F0F">
        <w:rPr>
          <w:rFonts w:ascii="Arial" w:hAnsi="Arial" w:cs="Arial"/>
        </w:rPr>
        <w:t>en provincias:</w:t>
      </w:r>
    </w:p>
    <w:p w:rsidR="00B8202C" w:rsidRPr="00644F0F" w:rsidRDefault="00B8202C" w:rsidP="00644F0F">
      <w:pPr>
        <w:spacing w:after="0" w:line="360" w:lineRule="auto"/>
        <w:jc w:val="both"/>
        <w:rPr>
          <w:rFonts w:ascii="Arial" w:hAnsi="Arial" w:cs="Arial"/>
        </w:rPr>
      </w:pPr>
    </w:p>
    <w:p w:rsidR="002B2797" w:rsidRPr="00644F0F" w:rsidRDefault="002B2797" w:rsidP="00644F0F">
      <w:pPr>
        <w:spacing w:after="0" w:line="360" w:lineRule="auto"/>
        <w:jc w:val="both"/>
        <w:rPr>
          <w:rFonts w:ascii="Arial" w:hAnsi="Arial" w:cs="Arial"/>
          <w:b/>
        </w:rPr>
      </w:pPr>
      <w:r w:rsidRPr="00644F0F">
        <w:rPr>
          <w:rFonts w:ascii="Arial" w:hAnsi="Arial" w:cs="Arial"/>
          <w:b/>
        </w:rPr>
        <w:t>Relacionados con la vulnerabilidad en los ingresos:</w:t>
      </w:r>
    </w:p>
    <w:p w:rsidR="002B2797" w:rsidRPr="00644F0F"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Presión tributaria (en términos del PBG)</w:t>
      </w:r>
    </w:p>
    <w:p w:rsidR="002B2797" w:rsidRPr="00644F0F"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Recaudación de IIBB y Sellos (en términos de ingresos corrientes)</w:t>
      </w:r>
    </w:p>
    <w:p w:rsidR="002B2797"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Ingresos por transferencias discrecionales (en términos de gasto total)</w:t>
      </w:r>
    </w:p>
    <w:p w:rsidR="00B8202C" w:rsidRPr="00644F0F" w:rsidRDefault="00B8202C" w:rsidP="00B8202C">
      <w:pPr>
        <w:pStyle w:val="Prrafodelista"/>
        <w:spacing w:after="0" w:line="360" w:lineRule="auto"/>
        <w:jc w:val="both"/>
        <w:rPr>
          <w:rFonts w:ascii="Arial" w:hAnsi="Arial" w:cs="Arial"/>
        </w:rPr>
      </w:pPr>
    </w:p>
    <w:p w:rsidR="002B2797" w:rsidRPr="00644F0F" w:rsidRDefault="002B2797" w:rsidP="00644F0F">
      <w:pPr>
        <w:spacing w:after="0" w:line="360" w:lineRule="auto"/>
        <w:jc w:val="both"/>
        <w:rPr>
          <w:rFonts w:ascii="Arial" w:hAnsi="Arial" w:cs="Arial"/>
          <w:b/>
        </w:rPr>
      </w:pPr>
      <w:r w:rsidRPr="00644F0F">
        <w:rPr>
          <w:rFonts w:ascii="Arial" w:hAnsi="Arial" w:cs="Arial"/>
          <w:b/>
        </w:rPr>
        <w:t>Relacionados con el desequilibrio fiscal y la vulnerabilidad en el gasto:</w:t>
      </w:r>
    </w:p>
    <w:p w:rsidR="002B2797" w:rsidRPr="00644F0F"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Gasto en personal (en términos de ingresos corrientes)</w:t>
      </w:r>
    </w:p>
    <w:p w:rsidR="002B2797" w:rsidRPr="00644F0F"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Resultado fiscal corriente (en términos de gasto corriente)</w:t>
      </w:r>
    </w:p>
    <w:p w:rsidR="002B2797"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Resultado financiero (en términos del gasto total)</w:t>
      </w:r>
    </w:p>
    <w:p w:rsidR="00B8202C" w:rsidRPr="00644F0F" w:rsidRDefault="00B8202C" w:rsidP="00B8202C">
      <w:pPr>
        <w:pStyle w:val="Prrafodelista"/>
        <w:spacing w:after="0" w:line="360" w:lineRule="auto"/>
        <w:jc w:val="both"/>
        <w:rPr>
          <w:rFonts w:ascii="Arial" w:hAnsi="Arial" w:cs="Arial"/>
        </w:rPr>
      </w:pPr>
    </w:p>
    <w:p w:rsidR="002B2797" w:rsidRPr="00644F0F" w:rsidRDefault="002B2797" w:rsidP="00644F0F">
      <w:pPr>
        <w:spacing w:after="0" w:line="360" w:lineRule="auto"/>
        <w:jc w:val="both"/>
        <w:rPr>
          <w:rFonts w:ascii="Arial" w:hAnsi="Arial" w:cs="Arial"/>
          <w:b/>
        </w:rPr>
      </w:pPr>
      <w:r w:rsidRPr="00644F0F">
        <w:rPr>
          <w:rFonts w:ascii="Arial" w:hAnsi="Arial" w:cs="Arial"/>
          <w:b/>
        </w:rPr>
        <w:t>Relacionados con la deuda pública:</w:t>
      </w:r>
    </w:p>
    <w:p w:rsidR="002B2797" w:rsidRPr="00644F0F"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Stock de deuda (en términos de ingresos corrientes)</w:t>
      </w:r>
    </w:p>
    <w:p w:rsidR="002B2797" w:rsidRPr="00644F0F"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Servicios de la deuda (en términos de ingresos corrientes netos de coparticipación a municipios)</w:t>
      </w:r>
    </w:p>
    <w:p w:rsidR="002B2797" w:rsidRDefault="002B2797" w:rsidP="00644F0F">
      <w:pPr>
        <w:pStyle w:val="Prrafodelista"/>
        <w:numPr>
          <w:ilvl w:val="0"/>
          <w:numId w:val="7"/>
        </w:numPr>
        <w:spacing w:after="0" w:line="360" w:lineRule="auto"/>
        <w:jc w:val="both"/>
        <w:rPr>
          <w:rFonts w:ascii="Arial" w:hAnsi="Arial" w:cs="Arial"/>
        </w:rPr>
      </w:pPr>
      <w:r w:rsidRPr="00644F0F">
        <w:rPr>
          <w:rFonts w:ascii="Arial" w:hAnsi="Arial" w:cs="Arial"/>
        </w:rPr>
        <w:t>Servicios de deuda en moneda extranjera (porcentaje del total)</w:t>
      </w:r>
    </w:p>
    <w:p w:rsidR="00B8202C" w:rsidRPr="00644F0F" w:rsidRDefault="00B8202C" w:rsidP="00B8202C">
      <w:pPr>
        <w:pStyle w:val="Prrafodelista"/>
        <w:spacing w:after="0" w:line="360" w:lineRule="auto"/>
        <w:jc w:val="both"/>
        <w:rPr>
          <w:rFonts w:ascii="Arial" w:hAnsi="Arial" w:cs="Arial"/>
        </w:rPr>
      </w:pPr>
    </w:p>
    <w:p w:rsidR="00571CD1" w:rsidRPr="00644F0F" w:rsidRDefault="00571CD1" w:rsidP="00644F0F">
      <w:pPr>
        <w:keepNext/>
        <w:spacing w:after="0" w:line="360" w:lineRule="auto"/>
        <w:jc w:val="both"/>
        <w:rPr>
          <w:rFonts w:ascii="Arial" w:hAnsi="Arial" w:cs="Arial"/>
          <w:b/>
        </w:rPr>
      </w:pPr>
      <w:r w:rsidRPr="00644F0F">
        <w:rPr>
          <w:rFonts w:ascii="Arial" w:hAnsi="Arial" w:cs="Arial"/>
          <w:b/>
        </w:rPr>
        <w:t xml:space="preserve">Relacionados con la transparencia fiscal: </w:t>
      </w:r>
    </w:p>
    <w:p w:rsidR="00644F0F" w:rsidRDefault="00571CD1" w:rsidP="00B8202C">
      <w:pPr>
        <w:pStyle w:val="Prrafodelista"/>
        <w:numPr>
          <w:ilvl w:val="0"/>
          <w:numId w:val="8"/>
        </w:numPr>
        <w:spacing w:after="0" w:line="360" w:lineRule="auto"/>
        <w:jc w:val="both"/>
        <w:rPr>
          <w:rFonts w:ascii="Arial" w:hAnsi="Arial" w:cs="Arial"/>
        </w:rPr>
      </w:pPr>
      <w:r w:rsidRPr="00644F0F">
        <w:rPr>
          <w:rFonts w:ascii="Arial" w:hAnsi="Arial" w:cs="Arial"/>
        </w:rPr>
        <w:t>Índice de Transparencia Presupuestaria</w:t>
      </w:r>
      <w:r w:rsidR="003563E0" w:rsidRPr="00644F0F">
        <w:rPr>
          <w:rStyle w:val="Refdenotaalpie"/>
          <w:rFonts w:ascii="Arial" w:hAnsi="Arial" w:cs="Arial"/>
        </w:rPr>
        <w:footnoteReference w:id="6"/>
      </w:r>
    </w:p>
    <w:p w:rsidR="00B8202C" w:rsidRPr="00B8202C" w:rsidRDefault="00B8202C" w:rsidP="00B8202C">
      <w:pPr>
        <w:pStyle w:val="Prrafodelista"/>
        <w:spacing w:after="0" w:line="360" w:lineRule="auto"/>
        <w:jc w:val="both"/>
        <w:rPr>
          <w:rFonts w:ascii="Arial" w:hAnsi="Arial" w:cs="Arial"/>
        </w:rPr>
      </w:pPr>
    </w:p>
    <w:p w:rsidR="00971168" w:rsidRPr="00644F0F" w:rsidRDefault="00971168" w:rsidP="00644F0F">
      <w:pPr>
        <w:spacing w:after="0" w:line="360" w:lineRule="auto"/>
        <w:jc w:val="both"/>
        <w:rPr>
          <w:rFonts w:ascii="Arial" w:hAnsi="Arial" w:cs="Arial"/>
        </w:rPr>
      </w:pPr>
      <w:r w:rsidRPr="00644F0F">
        <w:rPr>
          <w:rFonts w:ascii="Arial" w:hAnsi="Arial" w:cs="Arial"/>
        </w:rPr>
        <w:t>Los datos utilizados para la construcción de un</w:t>
      </w:r>
      <w:r w:rsidR="003247AE" w:rsidRPr="00644F0F">
        <w:rPr>
          <w:rFonts w:ascii="Arial" w:hAnsi="Arial" w:cs="Arial"/>
        </w:rPr>
        <w:t xml:space="preserve"> IFF</w:t>
      </w:r>
      <w:r w:rsidRPr="00644F0F">
        <w:rPr>
          <w:rFonts w:ascii="Arial" w:hAnsi="Arial" w:cs="Arial"/>
        </w:rPr>
        <w:t xml:space="preserve"> para las provincias argentinas corresponden a la Administración Pública no Financiera de cada jurisdicción, para el ejercicio anual 2017, provistos por fuentes oficiales de gobiernos provinciales</w:t>
      </w:r>
      <w:r w:rsidRPr="00644F0F">
        <w:rPr>
          <w:rStyle w:val="Refdenotaalpie"/>
          <w:rFonts w:ascii="Arial" w:hAnsi="Arial" w:cs="Arial"/>
        </w:rPr>
        <w:footnoteReference w:id="7"/>
      </w:r>
      <w:r w:rsidRPr="00644F0F">
        <w:rPr>
          <w:rFonts w:ascii="Arial" w:hAnsi="Arial" w:cs="Arial"/>
        </w:rPr>
        <w:t xml:space="preserve"> y por el Ministerio del Interior.</w:t>
      </w:r>
    </w:p>
    <w:p w:rsidR="00B8202C" w:rsidRDefault="00971168" w:rsidP="00644F0F">
      <w:pPr>
        <w:spacing w:after="0" w:line="360" w:lineRule="auto"/>
        <w:jc w:val="both"/>
        <w:rPr>
          <w:rFonts w:ascii="Arial" w:hAnsi="Arial" w:cs="Arial"/>
        </w:rPr>
      </w:pPr>
      <w:r w:rsidRPr="00644F0F">
        <w:rPr>
          <w:rFonts w:ascii="Arial" w:hAnsi="Arial" w:cs="Arial"/>
        </w:rPr>
        <w:t>Los pasos a seguir para la construcción del índice propuesto son los siguientes:</w:t>
      </w:r>
    </w:p>
    <w:p w:rsidR="00B8202C" w:rsidRPr="00644F0F" w:rsidRDefault="00B8202C" w:rsidP="00644F0F">
      <w:pPr>
        <w:spacing w:after="0" w:line="360" w:lineRule="auto"/>
        <w:jc w:val="both"/>
        <w:rPr>
          <w:rFonts w:ascii="Arial" w:hAnsi="Arial" w:cs="Arial"/>
        </w:rPr>
      </w:pPr>
    </w:p>
    <w:p w:rsidR="00971168" w:rsidRPr="00644F0F" w:rsidRDefault="00971168" w:rsidP="00971168">
      <w:pPr>
        <w:pStyle w:val="Prrafodelista"/>
        <w:numPr>
          <w:ilvl w:val="0"/>
          <w:numId w:val="10"/>
        </w:numPr>
        <w:spacing w:line="480" w:lineRule="auto"/>
        <w:jc w:val="both"/>
        <w:rPr>
          <w:rFonts w:ascii="Arial" w:hAnsi="Arial" w:cs="Arial"/>
        </w:rPr>
      </w:pPr>
      <w:r w:rsidRPr="00644F0F">
        <w:rPr>
          <w:rFonts w:ascii="Arial" w:hAnsi="Arial" w:cs="Arial"/>
        </w:rPr>
        <w:t>Selección de indicadores fiscales a utilizar</w:t>
      </w:r>
      <w:r w:rsidR="00B50EA9" w:rsidRPr="00644F0F">
        <w:rPr>
          <w:rFonts w:ascii="Arial" w:hAnsi="Arial" w:cs="Arial"/>
        </w:rPr>
        <w:t xml:space="preserve">. </w:t>
      </w:r>
    </w:p>
    <w:p w:rsidR="00971168" w:rsidRPr="00644F0F" w:rsidRDefault="00971168" w:rsidP="00644F0F">
      <w:pPr>
        <w:pStyle w:val="Prrafodelista"/>
        <w:numPr>
          <w:ilvl w:val="0"/>
          <w:numId w:val="10"/>
        </w:numPr>
        <w:spacing w:after="0" w:line="360" w:lineRule="auto"/>
        <w:ind w:left="357" w:hanging="357"/>
        <w:jc w:val="both"/>
        <w:rPr>
          <w:rFonts w:ascii="Arial" w:hAnsi="Arial" w:cs="Arial"/>
        </w:rPr>
      </w:pPr>
      <w:r w:rsidRPr="00644F0F">
        <w:rPr>
          <w:rFonts w:ascii="Arial" w:hAnsi="Arial" w:cs="Arial"/>
        </w:rPr>
        <w:t>Construcción de un subíndice para cada indicador, en base a las variables fiscales a utilizar</w:t>
      </w:r>
    </w:p>
    <w:p w:rsidR="00971168" w:rsidRPr="00644F0F" w:rsidRDefault="00971168" w:rsidP="00644F0F">
      <w:pPr>
        <w:pStyle w:val="Prrafodelista"/>
        <w:numPr>
          <w:ilvl w:val="0"/>
          <w:numId w:val="10"/>
        </w:numPr>
        <w:spacing w:after="0" w:line="360" w:lineRule="auto"/>
        <w:ind w:left="357" w:hanging="357"/>
        <w:jc w:val="both"/>
        <w:rPr>
          <w:rFonts w:ascii="Arial" w:hAnsi="Arial" w:cs="Arial"/>
        </w:rPr>
      </w:pPr>
      <w:r w:rsidRPr="00644F0F">
        <w:rPr>
          <w:rFonts w:ascii="Arial" w:hAnsi="Arial" w:cs="Arial"/>
        </w:rPr>
        <w:t>Normalización de cada subíndice, de manera que queden expresados en valores entre 0 y 100</w:t>
      </w:r>
    </w:p>
    <w:p w:rsidR="00971168" w:rsidRPr="00644F0F" w:rsidRDefault="00971168" w:rsidP="00644F0F">
      <w:pPr>
        <w:pStyle w:val="Prrafodelista"/>
        <w:numPr>
          <w:ilvl w:val="0"/>
          <w:numId w:val="10"/>
        </w:numPr>
        <w:spacing w:after="0" w:line="360" w:lineRule="auto"/>
        <w:ind w:left="357" w:hanging="357"/>
        <w:jc w:val="both"/>
        <w:rPr>
          <w:rFonts w:ascii="Arial" w:hAnsi="Arial" w:cs="Arial"/>
        </w:rPr>
      </w:pPr>
      <w:r w:rsidRPr="00644F0F">
        <w:rPr>
          <w:rFonts w:ascii="Arial" w:hAnsi="Arial" w:cs="Arial"/>
        </w:rPr>
        <w:t xml:space="preserve">Construcción de un ranking para cada indicador en función de los valores normalizados, de modo que la situación más favorable (desfavorable) quede expresada con el menor (mayor) valor. </w:t>
      </w:r>
    </w:p>
    <w:p w:rsidR="00971168" w:rsidRPr="00644F0F" w:rsidRDefault="00971168" w:rsidP="00644F0F">
      <w:pPr>
        <w:pStyle w:val="Prrafodelista"/>
        <w:numPr>
          <w:ilvl w:val="0"/>
          <w:numId w:val="10"/>
        </w:numPr>
        <w:spacing w:after="0" w:line="360" w:lineRule="auto"/>
        <w:ind w:left="357" w:hanging="357"/>
        <w:jc w:val="both"/>
        <w:rPr>
          <w:rFonts w:ascii="Arial" w:hAnsi="Arial" w:cs="Arial"/>
        </w:rPr>
      </w:pPr>
      <w:r w:rsidRPr="00644F0F">
        <w:rPr>
          <w:rFonts w:ascii="Arial" w:hAnsi="Arial" w:cs="Arial"/>
        </w:rPr>
        <w:t>Construcción del IFF a partir de un promedio simple o ponderado de los subíndices</w:t>
      </w:r>
    </w:p>
    <w:p w:rsidR="00971168" w:rsidRDefault="00971168" w:rsidP="00644F0F">
      <w:pPr>
        <w:pStyle w:val="Prrafodelista"/>
        <w:numPr>
          <w:ilvl w:val="0"/>
          <w:numId w:val="10"/>
        </w:numPr>
        <w:spacing w:after="0" w:line="360" w:lineRule="auto"/>
        <w:ind w:left="357" w:hanging="357"/>
        <w:jc w:val="both"/>
        <w:rPr>
          <w:rFonts w:ascii="Arial" w:hAnsi="Arial" w:cs="Arial"/>
        </w:rPr>
      </w:pPr>
      <w:r w:rsidRPr="00644F0F">
        <w:rPr>
          <w:rFonts w:ascii="Arial" w:hAnsi="Arial" w:cs="Arial"/>
        </w:rPr>
        <w:t xml:space="preserve">Construcción de un ranking para el IFF en función de los valores obtenidos al promediar subíndices normalizados, de modo que la situación más favorable (desfavorable) quede expresada con el menor (mayor) valor. </w:t>
      </w:r>
    </w:p>
    <w:p w:rsidR="00B8202C" w:rsidRPr="00644F0F" w:rsidRDefault="00B8202C" w:rsidP="00B8202C">
      <w:pPr>
        <w:pStyle w:val="Prrafodelista"/>
        <w:spacing w:after="0" w:line="360" w:lineRule="auto"/>
        <w:ind w:left="357"/>
        <w:jc w:val="both"/>
        <w:rPr>
          <w:rFonts w:ascii="Arial" w:hAnsi="Arial" w:cs="Arial"/>
        </w:rPr>
      </w:pPr>
    </w:p>
    <w:p w:rsidR="00B8202C" w:rsidRDefault="00971168" w:rsidP="00CB3BD2">
      <w:pPr>
        <w:spacing w:after="0" w:line="360" w:lineRule="auto"/>
        <w:jc w:val="both"/>
        <w:rPr>
          <w:rFonts w:ascii="Arial" w:hAnsi="Arial" w:cs="Arial"/>
        </w:rPr>
      </w:pPr>
      <w:r w:rsidRPr="00644F0F">
        <w:rPr>
          <w:rFonts w:ascii="Arial" w:hAnsi="Arial" w:cs="Arial"/>
        </w:rPr>
        <w:t xml:space="preserve">A continuación, se </w:t>
      </w:r>
      <w:r w:rsidR="00B50EA9" w:rsidRPr="00644F0F">
        <w:rPr>
          <w:rFonts w:ascii="Arial" w:hAnsi="Arial" w:cs="Arial"/>
        </w:rPr>
        <w:t>presentará</w:t>
      </w:r>
      <w:r w:rsidRPr="00644F0F">
        <w:rPr>
          <w:rFonts w:ascii="Arial" w:hAnsi="Arial" w:cs="Arial"/>
        </w:rPr>
        <w:t xml:space="preserve"> cada uno de los indicadores fiscales de provincias propuestos para la construcción del IFF, explicando brevemente el motivo de su inclusión.</w:t>
      </w:r>
      <w:r w:rsidR="00FA26DF">
        <w:rPr>
          <w:rFonts w:ascii="Arial" w:hAnsi="Arial" w:cs="Arial"/>
        </w:rPr>
        <w:t xml:space="preserve"> </w:t>
      </w:r>
      <w:r w:rsidRPr="00644F0F">
        <w:rPr>
          <w:rFonts w:ascii="Arial" w:hAnsi="Arial" w:cs="Arial"/>
        </w:rPr>
        <w:t xml:space="preserve">El resultado obtenido en cada provincia permitirá </w:t>
      </w:r>
      <w:r w:rsidR="00B50EA9" w:rsidRPr="00644F0F">
        <w:rPr>
          <w:rFonts w:ascii="Arial" w:hAnsi="Arial" w:cs="Arial"/>
        </w:rPr>
        <w:t>extraer</w:t>
      </w:r>
      <w:r w:rsidRPr="00644F0F">
        <w:rPr>
          <w:rFonts w:ascii="Arial" w:hAnsi="Arial" w:cs="Arial"/>
        </w:rPr>
        <w:t xml:space="preserve"> conclusiones sobre el desempeño de </w:t>
      </w:r>
      <w:r w:rsidR="002B1A68" w:rsidRPr="00644F0F">
        <w:rPr>
          <w:rFonts w:ascii="Arial" w:hAnsi="Arial" w:cs="Arial"/>
        </w:rPr>
        <w:t xml:space="preserve">dichas jurisdicciones </w:t>
      </w:r>
      <w:r w:rsidRPr="00644F0F">
        <w:rPr>
          <w:rFonts w:ascii="Arial" w:hAnsi="Arial" w:cs="Arial"/>
        </w:rPr>
        <w:t xml:space="preserve">en el ejercicio 2017 y los </w:t>
      </w:r>
      <w:r w:rsidR="002B1A68" w:rsidRPr="00644F0F">
        <w:rPr>
          <w:rFonts w:ascii="Arial" w:hAnsi="Arial" w:cs="Arial"/>
        </w:rPr>
        <w:t xml:space="preserve">principales </w:t>
      </w:r>
      <w:r w:rsidRPr="00644F0F">
        <w:rPr>
          <w:rFonts w:ascii="Arial" w:hAnsi="Arial" w:cs="Arial"/>
        </w:rPr>
        <w:t>desafíos a los que se enfrentarán en los próximos años.</w:t>
      </w:r>
    </w:p>
    <w:p w:rsidR="00B8202C" w:rsidRPr="00CB3BD2" w:rsidRDefault="00B8202C" w:rsidP="00CB3BD2">
      <w:pPr>
        <w:spacing w:after="0" w:line="360" w:lineRule="auto"/>
        <w:jc w:val="both"/>
        <w:rPr>
          <w:rFonts w:ascii="Arial" w:hAnsi="Arial" w:cs="Arial"/>
        </w:rPr>
      </w:pPr>
    </w:p>
    <w:p w:rsidR="00971168" w:rsidRPr="00644F0F" w:rsidRDefault="00971168" w:rsidP="00644F0F">
      <w:pPr>
        <w:spacing w:after="0" w:line="360" w:lineRule="auto"/>
        <w:jc w:val="both"/>
        <w:rPr>
          <w:rFonts w:ascii="Arial" w:hAnsi="Arial" w:cs="Arial"/>
          <w:sz w:val="24"/>
          <w:szCs w:val="24"/>
        </w:rPr>
      </w:pPr>
      <w:r w:rsidRPr="00644F0F">
        <w:rPr>
          <w:rFonts w:ascii="Arial" w:hAnsi="Arial" w:cs="Arial"/>
          <w:b/>
          <w:u w:val="single"/>
        </w:rPr>
        <w:t xml:space="preserve">Indicadores </w:t>
      </w:r>
      <w:r w:rsidRPr="00644F0F">
        <w:rPr>
          <w:rFonts w:ascii="Arial" w:hAnsi="Arial" w:cs="Arial"/>
          <w:b/>
          <w:sz w:val="24"/>
          <w:szCs w:val="24"/>
          <w:u w:val="single"/>
        </w:rPr>
        <w:t>relacionados</w:t>
      </w:r>
      <w:r w:rsidRPr="00644F0F">
        <w:rPr>
          <w:rFonts w:ascii="Arial" w:hAnsi="Arial" w:cs="Arial"/>
          <w:b/>
          <w:u w:val="single"/>
        </w:rPr>
        <w:t xml:space="preserve"> con vulnerabilidad en los ingresos</w:t>
      </w:r>
      <w:r w:rsidRPr="00644F0F">
        <w:rPr>
          <w:rFonts w:ascii="Arial" w:hAnsi="Arial" w:cs="Arial"/>
          <w:b/>
        </w:rPr>
        <w:t>:</w:t>
      </w:r>
    </w:p>
    <w:p w:rsidR="00820E85" w:rsidRDefault="00820E85" w:rsidP="00644F0F">
      <w:pPr>
        <w:spacing w:after="0" w:line="360" w:lineRule="auto"/>
        <w:jc w:val="both"/>
        <w:rPr>
          <w:rFonts w:ascii="Arial" w:hAnsi="Arial" w:cs="Arial"/>
          <w:b/>
        </w:rPr>
      </w:pPr>
    </w:p>
    <w:p w:rsidR="000E37F0" w:rsidRPr="00644F0F" w:rsidRDefault="000E37F0" w:rsidP="00644F0F">
      <w:pPr>
        <w:spacing w:after="0" w:line="360" w:lineRule="auto"/>
        <w:jc w:val="both"/>
        <w:rPr>
          <w:rFonts w:ascii="Arial" w:hAnsi="Arial" w:cs="Arial"/>
          <w:b/>
        </w:rPr>
      </w:pPr>
      <w:r w:rsidRPr="00644F0F">
        <w:rPr>
          <w:rFonts w:ascii="Arial" w:hAnsi="Arial" w:cs="Arial"/>
          <w:b/>
        </w:rPr>
        <w:t>Presión tributaria</w:t>
      </w:r>
      <w:r w:rsidR="00955C01" w:rsidRPr="00644F0F">
        <w:rPr>
          <w:rFonts w:ascii="Arial" w:hAnsi="Arial" w:cs="Arial"/>
          <w:b/>
        </w:rPr>
        <w:t xml:space="preserve"> (en términos del PBG)</w:t>
      </w:r>
    </w:p>
    <w:p w:rsidR="00820E85" w:rsidRDefault="00820E85" w:rsidP="00644F0F">
      <w:pPr>
        <w:spacing w:after="0" w:line="360" w:lineRule="auto"/>
        <w:jc w:val="both"/>
        <w:rPr>
          <w:rFonts w:ascii="Arial" w:hAnsi="Arial" w:cs="Arial"/>
        </w:rPr>
      </w:pPr>
    </w:p>
    <w:p w:rsidR="00125B5F" w:rsidRDefault="00955C01" w:rsidP="00FF0E98">
      <w:pPr>
        <w:spacing w:after="0" w:line="360" w:lineRule="auto"/>
        <w:jc w:val="both"/>
        <w:rPr>
          <w:rFonts w:ascii="Arial" w:hAnsi="Arial" w:cs="Arial"/>
        </w:rPr>
      </w:pPr>
      <w:r w:rsidRPr="00644F0F">
        <w:rPr>
          <w:rFonts w:ascii="Arial" w:hAnsi="Arial" w:cs="Arial"/>
        </w:rPr>
        <w:t xml:space="preserve">El indicador de </w:t>
      </w:r>
      <w:r w:rsidR="00CA6B94" w:rsidRPr="00644F0F">
        <w:rPr>
          <w:rFonts w:ascii="Arial" w:hAnsi="Arial" w:cs="Arial"/>
          <w:i/>
        </w:rPr>
        <w:t xml:space="preserve">presión tributaria </w:t>
      </w:r>
      <w:r w:rsidRPr="00644F0F">
        <w:rPr>
          <w:rFonts w:ascii="Arial" w:hAnsi="Arial" w:cs="Arial"/>
        </w:rPr>
        <w:t>(</w:t>
      </w:r>
      <w:r w:rsidR="00CA6B94" w:rsidRPr="00644F0F">
        <w:rPr>
          <w:rFonts w:ascii="Arial" w:hAnsi="Arial" w:cs="Arial"/>
        </w:rPr>
        <w:t xml:space="preserve">en </w:t>
      </w:r>
      <w:r w:rsidRPr="00644F0F">
        <w:rPr>
          <w:rFonts w:ascii="Arial" w:hAnsi="Arial" w:cs="Arial"/>
        </w:rPr>
        <w:t xml:space="preserve">términos del PBG) de </w:t>
      </w:r>
      <w:r w:rsidR="00CA6B94" w:rsidRPr="00644F0F">
        <w:rPr>
          <w:rFonts w:ascii="Arial" w:hAnsi="Arial" w:cs="Arial"/>
        </w:rPr>
        <w:t>las provincias argentinas</w:t>
      </w:r>
      <w:r w:rsidRPr="00644F0F">
        <w:rPr>
          <w:rFonts w:ascii="Arial" w:hAnsi="Arial" w:cs="Arial"/>
        </w:rPr>
        <w:t xml:space="preserve"> se obtiene como </w:t>
      </w:r>
      <w:r w:rsidR="00CA6B94" w:rsidRPr="00644F0F">
        <w:rPr>
          <w:rFonts w:ascii="Arial" w:hAnsi="Arial" w:cs="Arial"/>
        </w:rPr>
        <w:t xml:space="preserve">cociente entre la recaudación </w:t>
      </w:r>
      <w:r w:rsidRPr="00644F0F">
        <w:rPr>
          <w:rFonts w:ascii="Arial" w:hAnsi="Arial" w:cs="Arial"/>
        </w:rPr>
        <w:t xml:space="preserve">tributaria efectiva </w:t>
      </w:r>
      <w:r w:rsidR="00CA6B94" w:rsidRPr="00644F0F">
        <w:rPr>
          <w:rFonts w:ascii="Arial" w:hAnsi="Arial" w:cs="Arial"/>
        </w:rPr>
        <w:t>y su PBG</w:t>
      </w:r>
      <w:r w:rsidR="00270E8B" w:rsidRPr="00644F0F">
        <w:rPr>
          <w:rFonts w:ascii="Arial" w:hAnsi="Arial" w:cs="Arial"/>
        </w:rPr>
        <w:t xml:space="preserve"> estimado</w:t>
      </w:r>
      <w:r w:rsidR="00CA6B94" w:rsidRPr="00644F0F">
        <w:rPr>
          <w:rFonts w:ascii="Arial" w:hAnsi="Arial" w:cs="Arial"/>
        </w:rPr>
        <w:t>.</w:t>
      </w:r>
    </w:p>
    <w:p w:rsidR="00FF0E98" w:rsidRPr="00644F0F" w:rsidRDefault="00FF0E98" w:rsidP="00FF0E98">
      <w:pPr>
        <w:spacing w:after="0" w:line="360" w:lineRule="auto"/>
        <w:jc w:val="both"/>
        <w:rPr>
          <w:rFonts w:ascii="Arial" w:hAnsi="Arial" w:cs="Arial"/>
        </w:rPr>
      </w:pPr>
    </w:p>
    <w:p w:rsidR="00CA6B94" w:rsidRDefault="00CA6B94" w:rsidP="00644F0F">
      <w:pPr>
        <w:spacing w:after="0" w:line="360" w:lineRule="auto"/>
        <w:jc w:val="both"/>
        <w:rPr>
          <w:rFonts w:ascii="Arial" w:hAnsi="Arial" w:cs="Arial"/>
        </w:rPr>
      </w:pPr>
      <w:r w:rsidRPr="00644F0F">
        <w:rPr>
          <w:rFonts w:ascii="Arial" w:hAnsi="Arial" w:cs="Arial"/>
        </w:rPr>
        <w:t xml:space="preserve">El criterio </w:t>
      </w:r>
      <w:r w:rsidR="00270E8B" w:rsidRPr="00644F0F">
        <w:rPr>
          <w:rFonts w:ascii="Arial" w:hAnsi="Arial" w:cs="Arial"/>
        </w:rPr>
        <w:t xml:space="preserve">por el que se integra </w:t>
      </w:r>
      <w:r w:rsidRPr="00644F0F">
        <w:rPr>
          <w:rFonts w:ascii="Arial" w:hAnsi="Arial" w:cs="Arial"/>
        </w:rPr>
        <w:t xml:space="preserve">este indicador es el siguiente: a mayor </w:t>
      </w:r>
      <w:r w:rsidR="003C5BAF" w:rsidRPr="00644F0F">
        <w:rPr>
          <w:rFonts w:ascii="Arial" w:hAnsi="Arial" w:cs="Arial"/>
        </w:rPr>
        <w:t xml:space="preserve">(menor) </w:t>
      </w:r>
      <w:r w:rsidRPr="00644F0F">
        <w:rPr>
          <w:rFonts w:ascii="Arial" w:hAnsi="Arial" w:cs="Arial"/>
        </w:rPr>
        <w:t xml:space="preserve">presión tributaria, menor </w:t>
      </w:r>
      <w:r w:rsidR="003C5BAF" w:rsidRPr="00644F0F">
        <w:rPr>
          <w:rFonts w:ascii="Arial" w:hAnsi="Arial" w:cs="Arial"/>
        </w:rPr>
        <w:t xml:space="preserve">(mayor) </w:t>
      </w:r>
      <w:r w:rsidRPr="00644F0F">
        <w:rPr>
          <w:rFonts w:ascii="Arial" w:hAnsi="Arial" w:cs="Arial"/>
        </w:rPr>
        <w:t xml:space="preserve">será la posibilidad </w:t>
      </w:r>
      <w:r w:rsidR="00270E8B" w:rsidRPr="00644F0F">
        <w:rPr>
          <w:rFonts w:ascii="Arial" w:hAnsi="Arial" w:cs="Arial"/>
        </w:rPr>
        <w:t xml:space="preserve">de </w:t>
      </w:r>
      <w:r w:rsidRPr="00644F0F">
        <w:rPr>
          <w:rFonts w:ascii="Arial" w:hAnsi="Arial" w:cs="Arial"/>
        </w:rPr>
        <w:t>reacci</w:t>
      </w:r>
      <w:r w:rsidR="00270E8B" w:rsidRPr="00644F0F">
        <w:rPr>
          <w:rFonts w:ascii="Arial" w:hAnsi="Arial" w:cs="Arial"/>
        </w:rPr>
        <w:t xml:space="preserve">ón </w:t>
      </w:r>
      <w:r w:rsidRPr="00644F0F">
        <w:rPr>
          <w:rFonts w:ascii="Arial" w:hAnsi="Arial" w:cs="Arial"/>
        </w:rPr>
        <w:t xml:space="preserve">con un aumento de impuestos frente a situaciones </w:t>
      </w:r>
      <w:r w:rsidR="00270E8B" w:rsidRPr="00644F0F">
        <w:rPr>
          <w:rFonts w:ascii="Arial" w:hAnsi="Arial" w:cs="Arial"/>
        </w:rPr>
        <w:t>fiscales deficitarias</w:t>
      </w:r>
      <w:r w:rsidRPr="00644F0F">
        <w:rPr>
          <w:rFonts w:ascii="Arial" w:hAnsi="Arial" w:cs="Arial"/>
        </w:rPr>
        <w:t>. En otras palabras, menor</w:t>
      </w:r>
      <w:r w:rsidR="003C5BAF" w:rsidRPr="00644F0F">
        <w:rPr>
          <w:rFonts w:ascii="Arial" w:hAnsi="Arial" w:cs="Arial"/>
        </w:rPr>
        <w:t xml:space="preserve"> (mayor)</w:t>
      </w:r>
      <w:r w:rsidRPr="00644F0F">
        <w:rPr>
          <w:rFonts w:ascii="Arial" w:hAnsi="Arial" w:cs="Arial"/>
        </w:rPr>
        <w:t xml:space="preserve"> será el margen de acción de la política fiscal para responder ante adversidades. </w:t>
      </w:r>
      <w:r w:rsidR="00270E8B" w:rsidRPr="00644F0F">
        <w:rPr>
          <w:rFonts w:ascii="Arial" w:hAnsi="Arial" w:cs="Arial"/>
        </w:rPr>
        <w:t>Además de los problemas que una alta presión tributaria genera sobre la competitividad de la economía provincial.</w:t>
      </w:r>
    </w:p>
    <w:p w:rsidR="0084386F" w:rsidRDefault="0084386F" w:rsidP="00644F0F">
      <w:pPr>
        <w:spacing w:after="0" w:line="360" w:lineRule="auto"/>
        <w:jc w:val="both"/>
        <w:rPr>
          <w:rFonts w:ascii="Arial" w:hAnsi="Arial" w:cs="Arial"/>
        </w:rPr>
      </w:pPr>
    </w:p>
    <w:p w:rsidR="0084386F" w:rsidRPr="0084386F" w:rsidRDefault="0084386F" w:rsidP="0084386F">
      <w:pPr>
        <w:pStyle w:val="Epgrafe"/>
        <w:keepNext/>
        <w:jc w:val="center"/>
        <w:rPr>
          <w:rFonts w:ascii="Arial" w:hAnsi="Arial" w:cs="Arial"/>
          <w:b/>
          <w:i w:val="0"/>
          <w:sz w:val="22"/>
          <w:szCs w:val="22"/>
        </w:rPr>
      </w:pPr>
      <w:r w:rsidRPr="0084386F">
        <w:rPr>
          <w:rFonts w:ascii="Arial" w:hAnsi="Arial" w:cs="Arial"/>
          <w:b/>
          <w:i w:val="0"/>
          <w:color w:val="000000" w:themeColor="text1"/>
          <w:sz w:val="22"/>
          <w:szCs w:val="22"/>
        </w:rPr>
        <w:t>Presión Tributaria – 2017 – Por provincia y por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14"/>
      </w:tblGrid>
      <w:tr w:rsidR="0084386F" w:rsidTr="0084386F">
        <w:tc>
          <w:tcPr>
            <w:tcW w:w="4605" w:type="dxa"/>
          </w:tcPr>
          <w:p w:rsidR="0084386F" w:rsidRDefault="00293635" w:rsidP="00644F0F">
            <w:pPr>
              <w:spacing w:line="360" w:lineRule="auto"/>
              <w:jc w:val="both"/>
              <w:rPr>
                <w:rFonts w:ascii="Arial" w:hAnsi="Arial" w:cs="Arial"/>
              </w:rPr>
            </w:pPr>
            <w:r>
              <w:rPr>
                <w:rFonts w:ascii="Arial" w:hAnsi="Arial" w:cs="Arial"/>
                <w:noProof/>
              </w:rPr>
              <w:drawing>
                <wp:inline distT="0" distB="0" distL="0" distR="0">
                  <wp:extent cx="3268241" cy="4076700"/>
                  <wp:effectExtent l="19050" t="0" r="8359" b="0"/>
                  <wp:docPr id="3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3268241" cy="4076700"/>
                          </a:xfrm>
                          <a:prstGeom prst="rect">
                            <a:avLst/>
                          </a:prstGeom>
                          <a:noFill/>
                          <a:ln w="9525">
                            <a:noFill/>
                            <a:miter lim="800000"/>
                            <a:headEnd/>
                            <a:tailEnd/>
                          </a:ln>
                        </pic:spPr>
                      </pic:pic>
                    </a:graphicData>
                  </a:graphic>
                </wp:inline>
              </w:drawing>
            </w:r>
          </w:p>
        </w:tc>
        <w:tc>
          <w:tcPr>
            <w:tcW w:w="4605" w:type="dxa"/>
          </w:tcPr>
          <w:p w:rsidR="0084386F" w:rsidRDefault="0084386F" w:rsidP="00644F0F">
            <w:pPr>
              <w:spacing w:line="360" w:lineRule="auto"/>
              <w:jc w:val="both"/>
              <w:rPr>
                <w:rFonts w:ascii="Arial" w:hAnsi="Arial" w:cs="Arial"/>
                <w:noProof/>
                <w:lang w:val="es-ES" w:eastAsia="es-ES"/>
              </w:rPr>
            </w:pPr>
          </w:p>
          <w:p w:rsidR="00123833" w:rsidRDefault="00123833" w:rsidP="00644F0F">
            <w:pPr>
              <w:spacing w:line="360" w:lineRule="auto"/>
              <w:jc w:val="both"/>
              <w:rPr>
                <w:rFonts w:ascii="Arial" w:hAnsi="Arial" w:cs="Arial"/>
              </w:rPr>
            </w:pPr>
            <w:r w:rsidRPr="00123833">
              <w:rPr>
                <w:rFonts w:ascii="Arial" w:hAnsi="Arial" w:cs="Arial"/>
                <w:noProof/>
              </w:rPr>
              <w:drawing>
                <wp:inline distT="0" distB="0" distL="0" distR="0">
                  <wp:extent cx="2951747" cy="1981200"/>
                  <wp:effectExtent l="19050" t="0" r="1003" b="0"/>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951747" cy="1981200"/>
                          </a:xfrm>
                          <a:prstGeom prst="rect">
                            <a:avLst/>
                          </a:prstGeom>
                          <a:noFill/>
                          <a:ln w="9525">
                            <a:noFill/>
                            <a:miter lim="800000"/>
                            <a:headEnd/>
                            <a:tailEnd/>
                          </a:ln>
                        </pic:spPr>
                      </pic:pic>
                    </a:graphicData>
                  </a:graphic>
                </wp:inline>
              </w:drawing>
            </w:r>
          </w:p>
        </w:tc>
      </w:tr>
    </w:tbl>
    <w:p w:rsidR="0084386F" w:rsidRPr="00644F0F" w:rsidRDefault="0084386F" w:rsidP="00644F0F">
      <w:pPr>
        <w:spacing w:after="0" w:line="360" w:lineRule="auto"/>
        <w:jc w:val="both"/>
        <w:rPr>
          <w:rFonts w:ascii="Arial" w:hAnsi="Arial" w:cs="Arial"/>
        </w:rPr>
      </w:pPr>
    </w:p>
    <w:p w:rsidR="003C5BAF" w:rsidRPr="00644F0F" w:rsidRDefault="00270E8B" w:rsidP="00644F0F">
      <w:pPr>
        <w:spacing w:after="0" w:line="360" w:lineRule="auto"/>
        <w:jc w:val="both"/>
        <w:rPr>
          <w:rFonts w:ascii="Arial" w:hAnsi="Arial" w:cs="Arial"/>
        </w:rPr>
      </w:pPr>
      <w:r w:rsidRPr="00644F0F">
        <w:rPr>
          <w:rFonts w:ascii="Arial" w:hAnsi="Arial" w:cs="Arial"/>
        </w:rPr>
        <w:t>L</w:t>
      </w:r>
      <w:r w:rsidR="003C5BAF" w:rsidRPr="00644F0F">
        <w:rPr>
          <w:rFonts w:ascii="Arial" w:hAnsi="Arial" w:cs="Arial"/>
        </w:rPr>
        <w:t>a provincia de La Pampa</w:t>
      </w:r>
      <w:r w:rsidRPr="00644F0F">
        <w:rPr>
          <w:rFonts w:ascii="Arial" w:hAnsi="Arial" w:cs="Arial"/>
        </w:rPr>
        <w:t xml:space="preserve"> presenta </w:t>
      </w:r>
      <w:r w:rsidR="003C5BAF" w:rsidRPr="00644F0F">
        <w:rPr>
          <w:rFonts w:ascii="Arial" w:hAnsi="Arial" w:cs="Arial"/>
        </w:rPr>
        <w:t xml:space="preserve">la mayor presión tributaria efectiva </w:t>
      </w:r>
      <w:r w:rsidRPr="00644F0F">
        <w:rPr>
          <w:rFonts w:ascii="Arial" w:hAnsi="Arial" w:cs="Arial"/>
        </w:rPr>
        <w:t>sobre el PBG</w:t>
      </w:r>
      <w:r w:rsidR="003C5BAF" w:rsidRPr="00644F0F">
        <w:rPr>
          <w:rFonts w:ascii="Arial" w:hAnsi="Arial" w:cs="Arial"/>
        </w:rPr>
        <w:t xml:space="preserve"> (9,6%), </w:t>
      </w:r>
      <w:r w:rsidRPr="00644F0F">
        <w:rPr>
          <w:rFonts w:ascii="Arial" w:hAnsi="Arial" w:cs="Arial"/>
        </w:rPr>
        <w:t xml:space="preserve">seguida por Córdoba, </w:t>
      </w:r>
      <w:r w:rsidR="00622856" w:rsidRPr="00644F0F">
        <w:rPr>
          <w:rFonts w:ascii="Arial" w:hAnsi="Arial" w:cs="Arial"/>
        </w:rPr>
        <w:t>Buenos Aires y CABA</w:t>
      </w:r>
      <w:r w:rsidRPr="00644F0F">
        <w:rPr>
          <w:rFonts w:ascii="Arial" w:hAnsi="Arial" w:cs="Arial"/>
        </w:rPr>
        <w:t>.</w:t>
      </w:r>
      <w:r w:rsidR="00EA2226">
        <w:rPr>
          <w:rFonts w:ascii="Arial" w:hAnsi="Arial" w:cs="Arial"/>
        </w:rPr>
        <w:t xml:space="preserve"> </w:t>
      </w:r>
      <w:r w:rsidR="0096279F" w:rsidRPr="00644F0F">
        <w:rPr>
          <w:rFonts w:ascii="Arial" w:hAnsi="Arial" w:cs="Arial"/>
        </w:rPr>
        <w:t xml:space="preserve">En el extremo opuesto se ubica La Rioja y Corrientes, con una presión tributaria de 3,6%. </w:t>
      </w:r>
      <w:r w:rsidRPr="00644F0F">
        <w:rPr>
          <w:rFonts w:ascii="Arial" w:hAnsi="Arial" w:cs="Arial"/>
        </w:rPr>
        <w:t>Muy cerca se hallan Catamarca y San Juan (</w:t>
      </w:r>
      <w:r w:rsidR="0096279F" w:rsidRPr="00644F0F">
        <w:rPr>
          <w:rFonts w:ascii="Arial" w:hAnsi="Arial" w:cs="Arial"/>
        </w:rPr>
        <w:t>3,9%</w:t>
      </w:r>
      <w:r w:rsidRPr="00644F0F">
        <w:rPr>
          <w:rFonts w:ascii="Arial" w:hAnsi="Arial" w:cs="Arial"/>
        </w:rPr>
        <w:t>)</w:t>
      </w:r>
      <w:r w:rsidR="0096279F" w:rsidRPr="00644F0F">
        <w:rPr>
          <w:rFonts w:ascii="Arial" w:hAnsi="Arial" w:cs="Arial"/>
        </w:rPr>
        <w:t>.</w:t>
      </w:r>
    </w:p>
    <w:p w:rsidR="00622856" w:rsidRPr="00644F0F" w:rsidRDefault="00622856" w:rsidP="00644F0F">
      <w:pPr>
        <w:spacing w:after="0" w:line="360" w:lineRule="auto"/>
        <w:jc w:val="both"/>
        <w:rPr>
          <w:rFonts w:ascii="Arial" w:hAnsi="Arial" w:cs="Arial"/>
        </w:rPr>
      </w:pPr>
      <w:r w:rsidRPr="00644F0F">
        <w:rPr>
          <w:rFonts w:ascii="Arial" w:hAnsi="Arial" w:cs="Arial"/>
        </w:rPr>
        <w:t>En un análisis regional, la mayor presión tributaria se encuentra en la región Pampeana, seguida por Cuyo. La menor, en el Noroeste.</w:t>
      </w:r>
    </w:p>
    <w:p w:rsidR="0091089A" w:rsidRDefault="0091089A">
      <w:pPr>
        <w:rPr>
          <w:rFonts w:ascii="Times New Roman" w:hAnsi="Times New Roman" w:cs="Times New Roman"/>
          <w:b/>
          <w:sz w:val="24"/>
          <w:szCs w:val="24"/>
        </w:rPr>
      </w:pPr>
    </w:p>
    <w:p w:rsidR="001D274E" w:rsidRPr="00820E85" w:rsidRDefault="001D274E" w:rsidP="0044242D">
      <w:pPr>
        <w:spacing w:line="480" w:lineRule="auto"/>
        <w:jc w:val="both"/>
        <w:rPr>
          <w:rFonts w:ascii="Arial" w:hAnsi="Arial" w:cs="Arial"/>
          <w:noProof/>
        </w:rPr>
      </w:pPr>
      <w:r w:rsidRPr="00644F0F">
        <w:rPr>
          <w:rFonts w:ascii="Arial" w:hAnsi="Arial" w:cs="Arial"/>
          <w:b/>
        </w:rPr>
        <w:t>Recaudación de IIBB y Sellos (en términos de ingresos corrientes)</w:t>
      </w:r>
    </w:p>
    <w:p w:rsidR="009F4EC8" w:rsidRDefault="00626AFB" w:rsidP="00644F0F">
      <w:pPr>
        <w:spacing w:after="0" w:line="360" w:lineRule="auto"/>
        <w:jc w:val="both"/>
        <w:rPr>
          <w:rFonts w:ascii="Arial" w:hAnsi="Arial" w:cs="Arial"/>
        </w:rPr>
      </w:pPr>
      <w:r w:rsidRPr="00644F0F">
        <w:rPr>
          <w:rFonts w:ascii="Arial" w:hAnsi="Arial" w:cs="Arial"/>
        </w:rPr>
        <w:t xml:space="preserve">El segundo indicador de la lista es aquel calculado como la suma de la recaudación de ingresos brutos y sellos, en términos de ingresos corrientes. </w:t>
      </w:r>
      <w:r w:rsidR="00622856" w:rsidRPr="00644F0F">
        <w:rPr>
          <w:rFonts w:ascii="Arial" w:hAnsi="Arial" w:cs="Arial"/>
        </w:rPr>
        <w:t xml:space="preserve">Por dos razones: a) Resulta </w:t>
      </w:r>
      <w:r w:rsidR="00357A3D" w:rsidRPr="00644F0F">
        <w:rPr>
          <w:rFonts w:ascii="Arial" w:hAnsi="Arial" w:cs="Arial"/>
        </w:rPr>
        <w:t xml:space="preserve">perjudicial la concentración de las bases tributarias en </w:t>
      </w:r>
      <w:r w:rsidR="00622856" w:rsidRPr="00644F0F">
        <w:rPr>
          <w:rFonts w:ascii="Arial" w:hAnsi="Arial" w:cs="Arial"/>
        </w:rPr>
        <w:t xml:space="preserve">pocos </w:t>
      </w:r>
      <w:r w:rsidR="00357A3D" w:rsidRPr="00644F0F">
        <w:rPr>
          <w:rFonts w:ascii="Arial" w:hAnsi="Arial" w:cs="Arial"/>
        </w:rPr>
        <w:t>impuestos</w:t>
      </w:r>
      <w:r w:rsidR="00622856" w:rsidRPr="00644F0F">
        <w:rPr>
          <w:rFonts w:ascii="Arial" w:hAnsi="Arial" w:cs="Arial"/>
        </w:rPr>
        <w:t>,</w:t>
      </w:r>
      <w:r w:rsidR="00357A3D" w:rsidRPr="00644F0F">
        <w:rPr>
          <w:rFonts w:ascii="Arial" w:hAnsi="Arial" w:cs="Arial"/>
        </w:rPr>
        <w:t xml:space="preserve"> ya que </w:t>
      </w:r>
      <w:r w:rsidR="00AC0AF2" w:rsidRPr="00644F0F">
        <w:rPr>
          <w:rFonts w:ascii="Arial" w:hAnsi="Arial" w:cs="Arial"/>
        </w:rPr>
        <w:t xml:space="preserve">esto </w:t>
      </w:r>
      <w:r w:rsidR="00357A3D" w:rsidRPr="00644F0F">
        <w:rPr>
          <w:rFonts w:ascii="Arial" w:hAnsi="Arial" w:cs="Arial"/>
        </w:rPr>
        <w:t>añade vulnerabilidad</w:t>
      </w:r>
      <w:r w:rsidR="00EA2226">
        <w:rPr>
          <w:rFonts w:ascii="Arial" w:hAnsi="Arial" w:cs="Arial"/>
        </w:rPr>
        <w:t xml:space="preserve"> </w:t>
      </w:r>
      <w:r w:rsidR="00357A3D" w:rsidRPr="00644F0F">
        <w:rPr>
          <w:rFonts w:ascii="Arial" w:hAnsi="Arial" w:cs="Arial"/>
        </w:rPr>
        <w:t>si esa base “falla”</w:t>
      </w:r>
      <w:r w:rsidR="00622856" w:rsidRPr="00644F0F">
        <w:rPr>
          <w:rFonts w:ascii="Arial" w:hAnsi="Arial" w:cs="Arial"/>
        </w:rPr>
        <w:t xml:space="preserve">; b) Por el Consenso Fiscal aprobado en 2017, con vigencia desde 2018, </w:t>
      </w:r>
      <w:r w:rsidR="009F4EC8" w:rsidRPr="00644F0F">
        <w:rPr>
          <w:rFonts w:ascii="Arial" w:hAnsi="Arial" w:cs="Arial"/>
        </w:rPr>
        <w:t xml:space="preserve">se </w:t>
      </w:r>
      <w:r w:rsidR="00622856" w:rsidRPr="00644F0F">
        <w:rPr>
          <w:rFonts w:ascii="Arial" w:hAnsi="Arial" w:cs="Arial"/>
        </w:rPr>
        <w:t xml:space="preserve">acordó </w:t>
      </w:r>
      <w:r w:rsidR="009F4EC8" w:rsidRPr="00644F0F">
        <w:rPr>
          <w:rFonts w:ascii="Arial" w:hAnsi="Arial" w:cs="Arial"/>
        </w:rPr>
        <w:t>una reducción gradual de las alícuotas del impuesto sobre los ingresos brutos y del impuesto a los sellos</w:t>
      </w:r>
      <w:r w:rsidR="00622856" w:rsidRPr="00644F0F">
        <w:rPr>
          <w:rFonts w:ascii="Arial" w:hAnsi="Arial" w:cs="Arial"/>
        </w:rPr>
        <w:t xml:space="preserve"> hasta 2022</w:t>
      </w:r>
      <w:r w:rsidR="009F4EC8" w:rsidRPr="00644F0F">
        <w:rPr>
          <w:rFonts w:ascii="Arial" w:hAnsi="Arial" w:cs="Arial"/>
        </w:rPr>
        <w:t xml:space="preserve">, incluso hasta dejar exentas de dichos tributos a algunos sectores y actividades particulares. </w:t>
      </w:r>
    </w:p>
    <w:p w:rsidR="0084386F" w:rsidRDefault="0084386F" w:rsidP="00644F0F">
      <w:pPr>
        <w:spacing w:after="0" w:line="360" w:lineRule="auto"/>
        <w:jc w:val="both"/>
        <w:rPr>
          <w:rFonts w:ascii="Arial" w:hAnsi="Arial" w:cs="Arial"/>
        </w:rPr>
      </w:pPr>
    </w:p>
    <w:p w:rsidR="0084386F" w:rsidRPr="0084386F" w:rsidRDefault="0084386F" w:rsidP="0084386F">
      <w:pPr>
        <w:pStyle w:val="Epgrafe"/>
        <w:keepNext/>
        <w:jc w:val="center"/>
        <w:rPr>
          <w:rFonts w:ascii="Arial" w:hAnsi="Arial" w:cs="Arial"/>
          <w:b/>
          <w:i w:val="0"/>
          <w:color w:val="000000" w:themeColor="text1"/>
          <w:sz w:val="22"/>
          <w:szCs w:val="22"/>
        </w:rPr>
      </w:pPr>
      <w:r w:rsidRPr="0084386F">
        <w:rPr>
          <w:rFonts w:ascii="Arial" w:hAnsi="Arial" w:cs="Arial"/>
          <w:b/>
          <w:i w:val="0"/>
          <w:color w:val="000000" w:themeColor="text1"/>
          <w:sz w:val="22"/>
          <w:szCs w:val="22"/>
        </w:rPr>
        <w:t>Recaudación de Ingresos Brutos y Sellos/Ingresos Corrientes – 2017 – Por provincia y por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522"/>
      </w:tblGrid>
      <w:tr w:rsidR="0084386F" w:rsidTr="0084386F">
        <w:tc>
          <w:tcPr>
            <w:tcW w:w="4605" w:type="dxa"/>
          </w:tcPr>
          <w:p w:rsidR="0084386F" w:rsidRDefault="00653D9F" w:rsidP="00644F0F">
            <w:pPr>
              <w:spacing w:line="360" w:lineRule="auto"/>
              <w:jc w:val="both"/>
              <w:rPr>
                <w:rFonts w:ascii="Arial" w:hAnsi="Arial" w:cs="Arial"/>
              </w:rPr>
            </w:pPr>
            <w:r>
              <w:rPr>
                <w:rFonts w:ascii="Arial" w:hAnsi="Arial" w:cs="Arial"/>
                <w:noProof/>
              </w:rPr>
              <w:drawing>
                <wp:inline distT="0" distB="0" distL="0" distR="0">
                  <wp:extent cx="2958618" cy="4076700"/>
                  <wp:effectExtent l="19050" t="0" r="0" b="0"/>
                  <wp:docPr id="3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2958618" cy="4076700"/>
                          </a:xfrm>
                          <a:prstGeom prst="rect">
                            <a:avLst/>
                          </a:prstGeom>
                          <a:noFill/>
                          <a:ln w="9525">
                            <a:noFill/>
                            <a:miter lim="800000"/>
                            <a:headEnd/>
                            <a:tailEnd/>
                          </a:ln>
                        </pic:spPr>
                      </pic:pic>
                    </a:graphicData>
                  </a:graphic>
                </wp:inline>
              </w:drawing>
            </w:r>
          </w:p>
        </w:tc>
        <w:tc>
          <w:tcPr>
            <w:tcW w:w="4605" w:type="dxa"/>
          </w:tcPr>
          <w:p w:rsidR="0084386F" w:rsidRDefault="0084386F" w:rsidP="00644F0F">
            <w:pPr>
              <w:spacing w:line="360" w:lineRule="auto"/>
              <w:jc w:val="both"/>
              <w:rPr>
                <w:rFonts w:ascii="Arial" w:hAnsi="Arial" w:cs="Arial"/>
                <w:noProof/>
                <w:lang w:val="es-ES" w:eastAsia="es-ES"/>
              </w:rPr>
            </w:pPr>
          </w:p>
          <w:p w:rsidR="00C062A4" w:rsidRDefault="00C062A4" w:rsidP="00644F0F">
            <w:pPr>
              <w:spacing w:line="360" w:lineRule="auto"/>
              <w:jc w:val="both"/>
              <w:rPr>
                <w:rFonts w:ascii="Arial" w:hAnsi="Arial" w:cs="Arial"/>
              </w:rPr>
            </w:pPr>
            <w:r w:rsidRPr="00C062A4">
              <w:rPr>
                <w:rFonts w:ascii="Arial" w:hAnsi="Arial" w:cs="Arial"/>
                <w:noProof/>
              </w:rPr>
              <w:drawing>
                <wp:inline distT="0" distB="0" distL="0" distR="0">
                  <wp:extent cx="2800350" cy="2088261"/>
                  <wp:effectExtent l="19050" t="0" r="0" b="0"/>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800350" cy="2088261"/>
                          </a:xfrm>
                          <a:prstGeom prst="rect">
                            <a:avLst/>
                          </a:prstGeom>
                          <a:noFill/>
                          <a:ln w="9525">
                            <a:noFill/>
                            <a:miter lim="800000"/>
                            <a:headEnd/>
                            <a:tailEnd/>
                          </a:ln>
                        </pic:spPr>
                      </pic:pic>
                    </a:graphicData>
                  </a:graphic>
                </wp:inline>
              </w:drawing>
            </w:r>
          </w:p>
        </w:tc>
      </w:tr>
    </w:tbl>
    <w:p w:rsidR="0084386F" w:rsidRPr="00644F0F" w:rsidRDefault="0084386F" w:rsidP="00644F0F">
      <w:pPr>
        <w:spacing w:after="0" w:line="360" w:lineRule="auto"/>
        <w:jc w:val="both"/>
        <w:rPr>
          <w:rFonts w:ascii="Arial" w:hAnsi="Arial" w:cs="Arial"/>
        </w:rPr>
      </w:pPr>
    </w:p>
    <w:p w:rsidR="009F4EC8" w:rsidRDefault="00F74E22" w:rsidP="00644F0F">
      <w:pPr>
        <w:spacing w:after="0" w:line="360" w:lineRule="auto"/>
        <w:jc w:val="both"/>
        <w:rPr>
          <w:rFonts w:ascii="Arial" w:hAnsi="Arial" w:cs="Arial"/>
        </w:rPr>
      </w:pPr>
      <w:r w:rsidRPr="00644F0F">
        <w:rPr>
          <w:rFonts w:ascii="Arial" w:hAnsi="Arial" w:cs="Arial"/>
        </w:rPr>
        <w:t>Por lo anterior</w:t>
      </w:r>
      <w:r w:rsidR="00622856" w:rsidRPr="00644F0F">
        <w:rPr>
          <w:rFonts w:ascii="Arial" w:hAnsi="Arial" w:cs="Arial"/>
        </w:rPr>
        <w:t xml:space="preserve">, </w:t>
      </w:r>
      <w:r w:rsidR="009F4EC8" w:rsidRPr="00644F0F">
        <w:rPr>
          <w:rFonts w:ascii="Arial" w:hAnsi="Arial" w:cs="Arial"/>
        </w:rPr>
        <w:t xml:space="preserve">si </w:t>
      </w:r>
      <w:r w:rsidR="00622856" w:rsidRPr="00644F0F">
        <w:rPr>
          <w:rFonts w:ascii="Arial" w:hAnsi="Arial" w:cs="Arial"/>
        </w:rPr>
        <w:t>una</w:t>
      </w:r>
      <w:r w:rsidR="009F4EC8" w:rsidRPr="00644F0F">
        <w:rPr>
          <w:rFonts w:ascii="Arial" w:hAnsi="Arial" w:cs="Arial"/>
        </w:rPr>
        <w:t xml:space="preserve"> provincia se encuentra altamente dependiente de los ingresos de </w:t>
      </w:r>
      <w:r w:rsidR="00622856" w:rsidRPr="00644F0F">
        <w:rPr>
          <w:rFonts w:ascii="Arial" w:hAnsi="Arial" w:cs="Arial"/>
        </w:rPr>
        <w:t xml:space="preserve">dichos </w:t>
      </w:r>
      <w:r w:rsidR="009F4EC8" w:rsidRPr="00644F0F">
        <w:rPr>
          <w:rFonts w:ascii="Arial" w:hAnsi="Arial" w:cs="Arial"/>
        </w:rPr>
        <w:t xml:space="preserve">tributos, se enfrentará a una </w:t>
      </w:r>
      <w:r w:rsidR="00622856" w:rsidRPr="00644F0F">
        <w:rPr>
          <w:rFonts w:ascii="Arial" w:hAnsi="Arial" w:cs="Arial"/>
        </w:rPr>
        <w:t xml:space="preserve">mayor </w:t>
      </w:r>
      <w:r w:rsidR="009F4EC8" w:rsidRPr="00644F0F">
        <w:rPr>
          <w:rFonts w:ascii="Arial" w:hAnsi="Arial" w:cs="Arial"/>
        </w:rPr>
        <w:t>vulnerabilidad</w:t>
      </w:r>
      <w:r w:rsidR="00622856" w:rsidRPr="00644F0F">
        <w:rPr>
          <w:rFonts w:ascii="Arial" w:hAnsi="Arial" w:cs="Arial"/>
        </w:rPr>
        <w:t xml:space="preserve"> en los próximos años</w:t>
      </w:r>
      <w:r w:rsidR="009F4EC8" w:rsidRPr="00644F0F">
        <w:rPr>
          <w:rFonts w:ascii="Arial" w:hAnsi="Arial" w:cs="Arial"/>
        </w:rPr>
        <w:t>. En este sentido, en la Ciudad Autónoma de Buenos Aires (CABA), aproximadamente el 60% de los ingresos corrientes se corresponden con dichos impuestos, por lo que se encuentra en una situación desfavorable en términos relativos</w:t>
      </w:r>
      <w:r w:rsidR="007C097F" w:rsidRPr="00644F0F">
        <w:rPr>
          <w:rFonts w:ascii="Arial" w:hAnsi="Arial" w:cs="Arial"/>
        </w:rPr>
        <w:t>. En el extremo opuesto, Formosa es la provincia menos dependiente de estos ingresos tributarios, encontrándose así con mayor fortaleza fiscal</w:t>
      </w:r>
      <w:r w:rsidR="00622856" w:rsidRPr="00644F0F">
        <w:rPr>
          <w:rFonts w:ascii="Arial" w:hAnsi="Arial" w:cs="Arial"/>
        </w:rPr>
        <w:t xml:space="preserve"> a este respecto</w:t>
      </w:r>
      <w:r w:rsidR="007C097F" w:rsidRPr="00644F0F">
        <w:rPr>
          <w:rFonts w:ascii="Arial" w:hAnsi="Arial" w:cs="Arial"/>
        </w:rPr>
        <w:t xml:space="preserve">. </w:t>
      </w:r>
      <w:r w:rsidR="00622856" w:rsidRPr="00644F0F">
        <w:rPr>
          <w:rFonts w:ascii="Arial" w:hAnsi="Arial" w:cs="Arial"/>
        </w:rPr>
        <w:t>La Región Pampeana será la más expuesta, cuando se analiza en términos regionales.</w:t>
      </w:r>
    </w:p>
    <w:p w:rsidR="002773CE" w:rsidRDefault="002773CE" w:rsidP="00820E85">
      <w:pPr>
        <w:spacing w:after="0" w:line="360" w:lineRule="auto"/>
        <w:jc w:val="center"/>
        <w:rPr>
          <w:rFonts w:ascii="Arial" w:hAnsi="Arial" w:cs="Arial"/>
        </w:rPr>
      </w:pPr>
    </w:p>
    <w:p w:rsidR="00125B5F" w:rsidRPr="00644F0F" w:rsidRDefault="00125B5F" w:rsidP="00644F0F">
      <w:pPr>
        <w:spacing w:after="0" w:line="360" w:lineRule="auto"/>
        <w:jc w:val="both"/>
        <w:rPr>
          <w:rFonts w:ascii="Arial" w:hAnsi="Arial" w:cs="Arial"/>
        </w:rPr>
      </w:pPr>
    </w:p>
    <w:p w:rsidR="00A04536" w:rsidRDefault="00A04536">
      <w:pPr>
        <w:rPr>
          <w:rFonts w:ascii="Arial" w:hAnsi="Arial" w:cs="Arial"/>
          <w:b/>
        </w:rPr>
      </w:pPr>
      <w:r>
        <w:rPr>
          <w:rFonts w:ascii="Arial" w:hAnsi="Arial" w:cs="Arial"/>
          <w:b/>
        </w:rPr>
        <w:br w:type="page"/>
      </w:r>
    </w:p>
    <w:p w:rsidR="002D441F" w:rsidRPr="00644F0F" w:rsidRDefault="002D441F" w:rsidP="002D441F">
      <w:pPr>
        <w:spacing w:line="480" w:lineRule="auto"/>
        <w:jc w:val="both"/>
        <w:rPr>
          <w:rFonts w:ascii="Arial" w:hAnsi="Arial" w:cs="Arial"/>
          <w:b/>
        </w:rPr>
      </w:pPr>
      <w:r w:rsidRPr="00644F0F">
        <w:rPr>
          <w:rFonts w:ascii="Arial" w:hAnsi="Arial" w:cs="Arial"/>
          <w:b/>
        </w:rPr>
        <w:t>Ingresos por transferencias discrecionales (en términos de gasto total)</w:t>
      </w:r>
    </w:p>
    <w:p w:rsidR="002D441F" w:rsidRPr="00644F0F" w:rsidRDefault="002D441F" w:rsidP="00644F0F">
      <w:pPr>
        <w:spacing w:after="0" w:line="360" w:lineRule="auto"/>
        <w:jc w:val="both"/>
        <w:rPr>
          <w:rFonts w:ascii="Arial" w:hAnsi="Arial" w:cs="Arial"/>
        </w:rPr>
      </w:pPr>
      <w:r w:rsidRPr="00644F0F">
        <w:rPr>
          <w:rFonts w:ascii="Arial" w:hAnsi="Arial" w:cs="Arial"/>
        </w:rPr>
        <w:t xml:space="preserve">Las transferencias discrecionales </w:t>
      </w:r>
      <w:r w:rsidR="00E0011F" w:rsidRPr="00644F0F">
        <w:rPr>
          <w:rFonts w:ascii="Arial" w:hAnsi="Arial" w:cs="Arial"/>
        </w:rPr>
        <w:t xml:space="preserve">a provincias </w:t>
      </w:r>
      <w:r w:rsidRPr="00644F0F">
        <w:rPr>
          <w:rFonts w:ascii="Arial" w:hAnsi="Arial" w:cs="Arial"/>
        </w:rPr>
        <w:t xml:space="preserve">cobraron una mayor importancia </w:t>
      </w:r>
      <w:r w:rsidR="00E0011F" w:rsidRPr="00644F0F">
        <w:rPr>
          <w:rFonts w:ascii="Arial" w:hAnsi="Arial" w:cs="Arial"/>
        </w:rPr>
        <w:t>entre 2004 y 2015. Por caso, l</w:t>
      </w:r>
      <w:r w:rsidRPr="00644F0F">
        <w:rPr>
          <w:rFonts w:ascii="Arial" w:hAnsi="Arial" w:cs="Arial"/>
        </w:rPr>
        <w:t>as transferencias discrecionales totales (de capital más corrientes) pasaron de representar un 13% del total de ingresos provinciales en el año 2014, a un 10% en el año 2017.</w:t>
      </w:r>
    </w:p>
    <w:p w:rsidR="00285844" w:rsidRDefault="00E0011F" w:rsidP="00820E85">
      <w:pPr>
        <w:spacing w:after="0" w:line="360" w:lineRule="auto"/>
        <w:jc w:val="both"/>
        <w:rPr>
          <w:rFonts w:ascii="Arial" w:hAnsi="Arial" w:cs="Arial"/>
        </w:rPr>
      </w:pPr>
      <w:r w:rsidRPr="00644F0F">
        <w:rPr>
          <w:rFonts w:ascii="Arial" w:hAnsi="Arial" w:cs="Arial"/>
        </w:rPr>
        <w:t xml:space="preserve">La inclusión del </w:t>
      </w:r>
      <w:r w:rsidR="002D441F" w:rsidRPr="00644F0F">
        <w:rPr>
          <w:rFonts w:ascii="Arial" w:hAnsi="Arial" w:cs="Arial"/>
        </w:rPr>
        <w:t xml:space="preserve">indicador </w:t>
      </w:r>
      <w:r w:rsidR="002D441F" w:rsidRPr="00644F0F">
        <w:rPr>
          <w:rFonts w:ascii="Arial" w:hAnsi="Arial" w:cs="Arial"/>
          <w:i/>
        </w:rPr>
        <w:t xml:space="preserve">transferencias discrecionales totales </w:t>
      </w:r>
      <w:r w:rsidRPr="00644F0F">
        <w:rPr>
          <w:rFonts w:ascii="Arial" w:hAnsi="Arial" w:cs="Arial"/>
          <w:i/>
        </w:rPr>
        <w:t>(</w:t>
      </w:r>
      <w:r w:rsidR="002D441F" w:rsidRPr="00644F0F">
        <w:rPr>
          <w:rFonts w:ascii="Arial" w:hAnsi="Arial" w:cs="Arial"/>
          <w:i/>
        </w:rPr>
        <w:t>en términos del gasto total</w:t>
      </w:r>
      <w:r w:rsidRPr="00644F0F">
        <w:rPr>
          <w:rFonts w:ascii="Arial" w:hAnsi="Arial" w:cs="Arial"/>
          <w:i/>
        </w:rPr>
        <w:t>)</w:t>
      </w:r>
      <w:r w:rsidR="00EA2226">
        <w:rPr>
          <w:rFonts w:ascii="Arial" w:hAnsi="Arial" w:cs="Arial"/>
          <w:i/>
        </w:rPr>
        <w:t xml:space="preserve"> </w:t>
      </w:r>
      <w:r w:rsidRPr="00644F0F">
        <w:rPr>
          <w:rFonts w:ascii="Arial" w:hAnsi="Arial" w:cs="Arial"/>
        </w:rPr>
        <w:t xml:space="preserve">se debe a que, </w:t>
      </w:r>
      <w:r w:rsidR="002D441F" w:rsidRPr="00644F0F">
        <w:rPr>
          <w:rFonts w:ascii="Arial" w:hAnsi="Arial" w:cs="Arial"/>
        </w:rPr>
        <w:t xml:space="preserve">mientras menor (mayor) sea la proporción del gasto total financiado con transferencias discrecionales, mayor (menor) será la fortaleza fiscal de la provincia, ya que no manifestará gran dependencia </w:t>
      </w:r>
      <w:r w:rsidR="00F74E22" w:rsidRPr="00644F0F">
        <w:rPr>
          <w:rFonts w:ascii="Arial" w:hAnsi="Arial" w:cs="Arial"/>
        </w:rPr>
        <w:t>de</w:t>
      </w:r>
      <w:r w:rsidR="00820E85">
        <w:rPr>
          <w:rFonts w:ascii="Arial" w:hAnsi="Arial" w:cs="Arial"/>
        </w:rPr>
        <w:t xml:space="preserve"> dichos ingresos eventuales. </w:t>
      </w:r>
    </w:p>
    <w:p w:rsidR="00820E85" w:rsidRPr="00820E85" w:rsidRDefault="00820E85" w:rsidP="00820E85">
      <w:pPr>
        <w:spacing w:after="0" w:line="360" w:lineRule="auto"/>
        <w:jc w:val="both"/>
        <w:rPr>
          <w:rFonts w:ascii="Arial" w:hAnsi="Arial" w:cs="Arial"/>
        </w:rPr>
      </w:pPr>
    </w:p>
    <w:p w:rsidR="002D441F" w:rsidRDefault="00E0011F" w:rsidP="0084386F">
      <w:pPr>
        <w:spacing w:after="0" w:line="360" w:lineRule="auto"/>
        <w:jc w:val="both"/>
        <w:rPr>
          <w:rFonts w:ascii="Arial" w:hAnsi="Arial" w:cs="Arial"/>
        </w:rPr>
      </w:pPr>
      <w:r w:rsidRPr="00644F0F">
        <w:rPr>
          <w:rFonts w:ascii="Arial" w:hAnsi="Arial" w:cs="Arial"/>
        </w:rPr>
        <w:t xml:space="preserve">Se observaron </w:t>
      </w:r>
      <w:r w:rsidR="002D441F" w:rsidRPr="00644F0F">
        <w:rPr>
          <w:rFonts w:ascii="Arial" w:hAnsi="Arial" w:cs="Arial"/>
        </w:rPr>
        <w:t>grandes diferencias en los valores de este indicador</w:t>
      </w:r>
      <w:r w:rsidRPr="00644F0F">
        <w:rPr>
          <w:rFonts w:ascii="Arial" w:hAnsi="Arial" w:cs="Arial"/>
        </w:rPr>
        <w:t xml:space="preserve"> en 2017</w:t>
      </w:r>
      <w:r w:rsidR="002D441F" w:rsidRPr="00644F0F">
        <w:rPr>
          <w:rFonts w:ascii="Arial" w:hAnsi="Arial" w:cs="Arial"/>
        </w:rPr>
        <w:t xml:space="preserve">. El consolidado provincial asume </w:t>
      </w:r>
      <w:r w:rsidRPr="00644F0F">
        <w:rPr>
          <w:rFonts w:ascii="Arial" w:hAnsi="Arial" w:cs="Arial"/>
        </w:rPr>
        <w:t>un</w:t>
      </w:r>
      <w:r w:rsidR="002D441F" w:rsidRPr="00644F0F">
        <w:rPr>
          <w:rFonts w:ascii="Arial" w:hAnsi="Arial" w:cs="Arial"/>
        </w:rPr>
        <w:t xml:space="preserve"> valor promedio de 9,2%, </w:t>
      </w:r>
      <w:r w:rsidRPr="00644F0F">
        <w:rPr>
          <w:rFonts w:ascii="Arial" w:hAnsi="Arial" w:cs="Arial"/>
        </w:rPr>
        <w:t xml:space="preserve">con un máximo de 17,9% en La Rioja y un mínimo de </w:t>
      </w:r>
      <w:r w:rsidR="002D441F" w:rsidRPr="00644F0F">
        <w:rPr>
          <w:rFonts w:ascii="Arial" w:hAnsi="Arial" w:cs="Arial"/>
        </w:rPr>
        <w:t xml:space="preserve">2,9% </w:t>
      </w:r>
      <w:r w:rsidRPr="00644F0F">
        <w:rPr>
          <w:rFonts w:ascii="Arial" w:hAnsi="Arial" w:cs="Arial"/>
        </w:rPr>
        <w:t xml:space="preserve">en </w:t>
      </w:r>
      <w:r w:rsidR="0084386F">
        <w:rPr>
          <w:rFonts w:ascii="Arial" w:hAnsi="Arial" w:cs="Arial"/>
        </w:rPr>
        <w:t xml:space="preserve">CABA. </w:t>
      </w:r>
    </w:p>
    <w:p w:rsidR="0084386F" w:rsidRPr="0084386F" w:rsidRDefault="0084386F" w:rsidP="0084386F">
      <w:pPr>
        <w:spacing w:after="0" w:line="360" w:lineRule="auto"/>
        <w:jc w:val="both"/>
        <w:rPr>
          <w:rFonts w:ascii="Arial" w:hAnsi="Arial" w:cs="Arial"/>
        </w:rPr>
      </w:pPr>
    </w:p>
    <w:p w:rsidR="005E4829" w:rsidRPr="005E4829" w:rsidRDefault="005E4829" w:rsidP="005E4829">
      <w:pPr>
        <w:pStyle w:val="Epgrafe"/>
        <w:keepNext/>
        <w:jc w:val="center"/>
        <w:rPr>
          <w:rFonts w:ascii="Arial" w:hAnsi="Arial" w:cs="Arial"/>
          <w:b/>
          <w:i w:val="0"/>
          <w:sz w:val="22"/>
          <w:szCs w:val="22"/>
        </w:rPr>
      </w:pPr>
      <w:r w:rsidRPr="005E4829">
        <w:rPr>
          <w:rFonts w:ascii="Arial" w:hAnsi="Arial" w:cs="Arial"/>
          <w:b/>
          <w:i w:val="0"/>
          <w:color w:val="000000" w:themeColor="text1"/>
          <w:sz w:val="22"/>
          <w:szCs w:val="22"/>
        </w:rPr>
        <w:t>Transferencias Discrecionales/Gasto Total – Año 2017 – Por provincia y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693"/>
      </w:tblGrid>
      <w:tr w:rsidR="00C250E6" w:rsidTr="005E4829">
        <w:tc>
          <w:tcPr>
            <w:tcW w:w="4099" w:type="dxa"/>
          </w:tcPr>
          <w:p w:rsidR="00820E85" w:rsidRDefault="00653D9F">
            <w:pPr>
              <w:rPr>
                <w:rFonts w:ascii="Times New Roman" w:hAnsi="Times New Roman" w:cs="Times New Roman"/>
              </w:rPr>
            </w:pPr>
            <w:r>
              <w:rPr>
                <w:rFonts w:ascii="Times New Roman" w:hAnsi="Times New Roman" w:cs="Times New Roman"/>
                <w:noProof/>
              </w:rPr>
              <w:drawing>
                <wp:inline distT="0" distB="0" distL="0" distR="0">
                  <wp:extent cx="2855490" cy="3867150"/>
                  <wp:effectExtent l="0" t="0" r="0" b="0"/>
                  <wp:docPr id="3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2864814" cy="3879777"/>
                          </a:xfrm>
                          <a:prstGeom prst="rect">
                            <a:avLst/>
                          </a:prstGeom>
                          <a:noFill/>
                          <a:ln w="9525">
                            <a:noFill/>
                            <a:miter lim="800000"/>
                            <a:headEnd/>
                            <a:tailEnd/>
                          </a:ln>
                        </pic:spPr>
                      </pic:pic>
                    </a:graphicData>
                  </a:graphic>
                </wp:inline>
              </w:drawing>
            </w:r>
          </w:p>
        </w:tc>
        <w:tc>
          <w:tcPr>
            <w:tcW w:w="5187" w:type="dxa"/>
          </w:tcPr>
          <w:p w:rsidR="00820E85" w:rsidRDefault="00820E85">
            <w:pPr>
              <w:rPr>
                <w:rFonts w:ascii="Times New Roman" w:hAnsi="Times New Roman" w:cs="Times New Roman"/>
                <w:noProof/>
                <w:lang w:val="es-ES" w:eastAsia="es-ES"/>
              </w:rPr>
            </w:pPr>
          </w:p>
          <w:p w:rsidR="00C062A4" w:rsidRDefault="00C062A4">
            <w:pPr>
              <w:rPr>
                <w:rFonts w:ascii="Times New Roman" w:hAnsi="Times New Roman" w:cs="Times New Roman"/>
              </w:rPr>
            </w:pPr>
            <w:r w:rsidRPr="00C062A4">
              <w:rPr>
                <w:rFonts w:ascii="Times New Roman" w:hAnsi="Times New Roman" w:cs="Times New Roman"/>
                <w:noProof/>
              </w:rPr>
              <w:drawing>
                <wp:inline distT="0" distB="0" distL="0" distR="0">
                  <wp:extent cx="2901156" cy="2047875"/>
                  <wp:effectExtent l="19050" t="0" r="0" b="0"/>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2901156" cy="2047875"/>
                          </a:xfrm>
                          <a:prstGeom prst="rect">
                            <a:avLst/>
                          </a:prstGeom>
                          <a:noFill/>
                          <a:ln w="9525">
                            <a:noFill/>
                            <a:miter lim="800000"/>
                            <a:headEnd/>
                            <a:tailEnd/>
                          </a:ln>
                        </pic:spPr>
                      </pic:pic>
                    </a:graphicData>
                  </a:graphic>
                </wp:inline>
              </w:drawing>
            </w:r>
          </w:p>
        </w:tc>
      </w:tr>
    </w:tbl>
    <w:p w:rsidR="004B46D0" w:rsidRDefault="004B46D0" w:rsidP="00971168">
      <w:pPr>
        <w:spacing w:line="480" w:lineRule="auto"/>
        <w:jc w:val="both"/>
        <w:rPr>
          <w:rFonts w:ascii="Times New Roman" w:hAnsi="Times New Roman" w:cs="Times New Roman"/>
          <w:b/>
          <w:sz w:val="24"/>
          <w:szCs w:val="24"/>
          <w:u w:val="single"/>
        </w:rPr>
      </w:pPr>
    </w:p>
    <w:p w:rsidR="00A04536" w:rsidRDefault="00A04536">
      <w:pPr>
        <w:rPr>
          <w:rFonts w:ascii="Arial" w:hAnsi="Arial" w:cs="Arial"/>
          <w:b/>
          <w:sz w:val="24"/>
          <w:szCs w:val="24"/>
          <w:u w:val="single"/>
        </w:rPr>
      </w:pPr>
      <w:r>
        <w:rPr>
          <w:rFonts w:ascii="Arial" w:hAnsi="Arial" w:cs="Arial"/>
          <w:b/>
          <w:sz w:val="24"/>
          <w:szCs w:val="24"/>
          <w:u w:val="single"/>
        </w:rPr>
        <w:br w:type="page"/>
      </w:r>
    </w:p>
    <w:p w:rsidR="00971168" w:rsidRPr="00644F0F" w:rsidRDefault="00971168" w:rsidP="00971168">
      <w:pPr>
        <w:spacing w:line="480" w:lineRule="auto"/>
        <w:jc w:val="both"/>
        <w:rPr>
          <w:rFonts w:ascii="Arial" w:hAnsi="Arial" w:cs="Arial"/>
          <w:b/>
          <w:sz w:val="24"/>
          <w:szCs w:val="24"/>
        </w:rPr>
      </w:pPr>
      <w:r w:rsidRPr="00644F0F">
        <w:rPr>
          <w:rFonts w:ascii="Arial" w:hAnsi="Arial" w:cs="Arial"/>
          <w:b/>
          <w:sz w:val="24"/>
          <w:szCs w:val="24"/>
          <w:u w:val="single"/>
        </w:rPr>
        <w:t>Indicadores relacionados con desequilibrio fiscal y vulnerabilidad en el gasto</w:t>
      </w:r>
      <w:r w:rsidRPr="00644F0F">
        <w:rPr>
          <w:rFonts w:ascii="Arial" w:hAnsi="Arial" w:cs="Arial"/>
          <w:b/>
          <w:sz w:val="24"/>
          <w:szCs w:val="24"/>
        </w:rPr>
        <w:t>:</w:t>
      </w:r>
    </w:p>
    <w:p w:rsidR="00EF5145" w:rsidRPr="00644F0F" w:rsidRDefault="0091089A" w:rsidP="002B0CD5">
      <w:pPr>
        <w:spacing w:line="480" w:lineRule="auto"/>
        <w:jc w:val="both"/>
        <w:rPr>
          <w:rFonts w:ascii="Arial" w:hAnsi="Arial" w:cs="Arial"/>
        </w:rPr>
      </w:pPr>
      <w:r w:rsidRPr="00644F0F">
        <w:rPr>
          <w:rFonts w:ascii="Arial" w:hAnsi="Arial" w:cs="Arial"/>
          <w:b/>
        </w:rPr>
        <w:t>Gasto en personal (en términos de ingresos corrientes)</w:t>
      </w:r>
    </w:p>
    <w:p w:rsidR="0044242D" w:rsidRDefault="0044242D" w:rsidP="00644F0F">
      <w:pPr>
        <w:spacing w:after="0" w:line="360" w:lineRule="auto"/>
        <w:jc w:val="both"/>
        <w:rPr>
          <w:rFonts w:ascii="Arial" w:hAnsi="Arial" w:cs="Arial"/>
        </w:rPr>
      </w:pPr>
      <w:r w:rsidRPr="00644F0F">
        <w:rPr>
          <w:rFonts w:ascii="Arial" w:hAnsi="Arial" w:cs="Arial"/>
        </w:rPr>
        <w:t>El gasto en personal es el principal componente del gasto provincial: en promedio, más del 62% del gasto corriente y el 50% del gasto total es expl</w:t>
      </w:r>
      <w:r w:rsidR="00C0704A">
        <w:rPr>
          <w:rFonts w:ascii="Arial" w:hAnsi="Arial" w:cs="Arial"/>
        </w:rPr>
        <w:t xml:space="preserve">icado por el gasto en personal. </w:t>
      </w:r>
      <w:r w:rsidR="005B286A" w:rsidRPr="00644F0F">
        <w:rPr>
          <w:rFonts w:ascii="Arial" w:hAnsi="Arial" w:cs="Arial"/>
        </w:rPr>
        <w:t>M</w:t>
      </w:r>
      <w:r w:rsidRPr="00644F0F">
        <w:rPr>
          <w:rFonts w:ascii="Arial" w:hAnsi="Arial" w:cs="Arial"/>
        </w:rPr>
        <w:t xml:space="preserve">ientras menor (mayor) sea la proporción del ingreso corriente destinada a financiar el gasto corriente, y en particular, el gasto en personal, mayor (menor) será la fortaleza fiscal de la provincia, debido a que aumentará su ahorro corriente, </w:t>
      </w:r>
      <w:r w:rsidR="005B286A" w:rsidRPr="00644F0F">
        <w:rPr>
          <w:rFonts w:ascii="Arial" w:hAnsi="Arial" w:cs="Arial"/>
        </w:rPr>
        <w:t xml:space="preserve">disminuyendo su vulnerabilidad fiscal y </w:t>
      </w:r>
      <w:r w:rsidRPr="00644F0F">
        <w:rPr>
          <w:rFonts w:ascii="Arial" w:hAnsi="Arial" w:cs="Arial"/>
        </w:rPr>
        <w:t>mejorando su capacidad de financiamiento</w:t>
      </w:r>
      <w:r w:rsidR="005B286A" w:rsidRPr="00644F0F">
        <w:rPr>
          <w:rFonts w:ascii="Arial" w:hAnsi="Arial" w:cs="Arial"/>
        </w:rPr>
        <w:t xml:space="preserve"> de la inversión</w:t>
      </w:r>
      <w:r w:rsidRPr="00644F0F">
        <w:rPr>
          <w:rFonts w:ascii="Arial" w:hAnsi="Arial" w:cs="Arial"/>
        </w:rPr>
        <w:t>.</w:t>
      </w:r>
    </w:p>
    <w:p w:rsidR="00C0704A" w:rsidRPr="00644F0F" w:rsidRDefault="00C0704A" w:rsidP="00644F0F">
      <w:pPr>
        <w:spacing w:after="0" w:line="360" w:lineRule="auto"/>
        <w:jc w:val="both"/>
        <w:rPr>
          <w:rFonts w:ascii="Arial" w:hAnsi="Arial" w:cs="Arial"/>
        </w:rPr>
      </w:pPr>
    </w:p>
    <w:p w:rsidR="0044242D" w:rsidRDefault="005B286A" w:rsidP="00644F0F">
      <w:pPr>
        <w:spacing w:after="0" w:line="360" w:lineRule="auto"/>
        <w:jc w:val="both"/>
        <w:rPr>
          <w:rFonts w:ascii="Arial" w:hAnsi="Arial" w:cs="Arial"/>
        </w:rPr>
      </w:pPr>
      <w:r w:rsidRPr="00644F0F">
        <w:rPr>
          <w:rFonts w:ascii="Arial" w:hAnsi="Arial" w:cs="Arial"/>
        </w:rPr>
        <w:t xml:space="preserve">En </w:t>
      </w:r>
      <w:r w:rsidR="0044242D" w:rsidRPr="00644F0F">
        <w:rPr>
          <w:rFonts w:ascii="Arial" w:hAnsi="Arial" w:cs="Arial"/>
        </w:rPr>
        <w:t>2017 los valores observados en las provincias varían entre un mínimo de 31,4% (San Luis) y un máximo de 72,4% (Río Negro), mientras que el promedio provincial (consolidado) asume un valor cercano a 45</w:t>
      </w:r>
      <w:r w:rsidR="0051083F" w:rsidRPr="00644F0F">
        <w:rPr>
          <w:rFonts w:ascii="Arial" w:hAnsi="Arial" w:cs="Arial"/>
        </w:rPr>
        <w:t>,7</w:t>
      </w:r>
      <w:r w:rsidR="0044242D" w:rsidRPr="00644F0F">
        <w:rPr>
          <w:rFonts w:ascii="Arial" w:hAnsi="Arial" w:cs="Arial"/>
        </w:rPr>
        <w:t>%</w:t>
      </w:r>
      <w:r w:rsidRPr="00644F0F">
        <w:rPr>
          <w:rFonts w:ascii="Arial" w:hAnsi="Arial" w:cs="Arial"/>
        </w:rPr>
        <w:t xml:space="preserve"> de los ingresos corrientes</w:t>
      </w:r>
      <w:r w:rsidR="0044242D" w:rsidRPr="00644F0F">
        <w:rPr>
          <w:rFonts w:ascii="Arial" w:hAnsi="Arial" w:cs="Arial"/>
        </w:rPr>
        <w:t>.</w:t>
      </w:r>
      <w:r w:rsidR="00C0704A">
        <w:rPr>
          <w:rFonts w:ascii="Arial" w:hAnsi="Arial" w:cs="Arial"/>
        </w:rPr>
        <w:t xml:space="preserve"> </w:t>
      </w:r>
      <w:r w:rsidRPr="00644F0F">
        <w:rPr>
          <w:rFonts w:ascii="Arial" w:hAnsi="Arial" w:cs="Arial"/>
        </w:rPr>
        <w:t>Desde el punto de vista regional, la Patagonia y el Noroeste presentan el mayor peso del gasto en Personal (mayor vulnerabilidad fiscal)</w:t>
      </w:r>
      <w:r w:rsidR="0044242D" w:rsidRPr="00644F0F">
        <w:rPr>
          <w:rFonts w:ascii="Arial" w:hAnsi="Arial" w:cs="Arial"/>
        </w:rPr>
        <w:t>.</w:t>
      </w:r>
    </w:p>
    <w:p w:rsidR="0084386F" w:rsidRDefault="0084386F" w:rsidP="00644F0F">
      <w:pPr>
        <w:spacing w:after="0" w:line="360" w:lineRule="auto"/>
        <w:jc w:val="both"/>
        <w:rPr>
          <w:rFonts w:ascii="Arial" w:hAnsi="Arial" w:cs="Arial"/>
        </w:rPr>
      </w:pPr>
    </w:p>
    <w:p w:rsidR="005E4829" w:rsidRPr="00C250E6" w:rsidRDefault="005E4829" w:rsidP="005E4829">
      <w:pPr>
        <w:pStyle w:val="Epgrafe"/>
        <w:keepNext/>
        <w:jc w:val="center"/>
        <w:rPr>
          <w:rFonts w:ascii="Arial" w:hAnsi="Arial" w:cs="Arial"/>
          <w:b/>
          <w:i w:val="0"/>
          <w:color w:val="000000" w:themeColor="text1"/>
          <w:sz w:val="22"/>
          <w:szCs w:val="22"/>
        </w:rPr>
      </w:pPr>
      <w:r w:rsidRPr="00C250E6">
        <w:rPr>
          <w:rFonts w:ascii="Arial" w:hAnsi="Arial" w:cs="Arial"/>
          <w:b/>
          <w:i w:val="0"/>
          <w:color w:val="000000" w:themeColor="text1"/>
          <w:sz w:val="22"/>
          <w:szCs w:val="22"/>
        </w:rPr>
        <w:t>Gasto en Personal/Ingresos Corrientes – 2017 – Por provincia y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404"/>
      </w:tblGrid>
      <w:tr w:rsidR="005E4829" w:rsidTr="00C250E6">
        <w:tc>
          <w:tcPr>
            <w:tcW w:w="4141" w:type="dxa"/>
          </w:tcPr>
          <w:p w:rsidR="005E4829" w:rsidRDefault="00C062A4" w:rsidP="00644F0F">
            <w:pPr>
              <w:spacing w:line="360" w:lineRule="auto"/>
              <w:jc w:val="both"/>
              <w:rPr>
                <w:rFonts w:ascii="Arial" w:hAnsi="Arial" w:cs="Arial"/>
              </w:rPr>
            </w:pPr>
            <w:r>
              <w:rPr>
                <w:rFonts w:ascii="Arial" w:hAnsi="Arial" w:cs="Arial"/>
                <w:noProof/>
              </w:rPr>
              <w:drawing>
                <wp:inline distT="0" distB="0" distL="0" distR="0">
                  <wp:extent cx="3069944" cy="4181475"/>
                  <wp:effectExtent l="19050" t="0" r="0" b="0"/>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3073245" cy="4185971"/>
                          </a:xfrm>
                          <a:prstGeom prst="rect">
                            <a:avLst/>
                          </a:prstGeom>
                          <a:noFill/>
                          <a:ln w="9525">
                            <a:noFill/>
                            <a:miter lim="800000"/>
                            <a:headEnd/>
                            <a:tailEnd/>
                          </a:ln>
                        </pic:spPr>
                      </pic:pic>
                    </a:graphicData>
                  </a:graphic>
                </wp:inline>
              </w:drawing>
            </w:r>
          </w:p>
        </w:tc>
        <w:tc>
          <w:tcPr>
            <w:tcW w:w="5145" w:type="dxa"/>
          </w:tcPr>
          <w:p w:rsidR="005E4829" w:rsidRDefault="005E4829" w:rsidP="00644F0F">
            <w:pPr>
              <w:spacing w:line="360" w:lineRule="auto"/>
              <w:jc w:val="both"/>
              <w:rPr>
                <w:rFonts w:ascii="Arial" w:hAnsi="Arial" w:cs="Arial"/>
                <w:noProof/>
                <w:lang w:val="es-ES" w:eastAsia="es-ES"/>
              </w:rPr>
            </w:pPr>
          </w:p>
          <w:p w:rsidR="00C062A4" w:rsidRDefault="00C062A4" w:rsidP="00644F0F">
            <w:pPr>
              <w:spacing w:line="360" w:lineRule="auto"/>
              <w:jc w:val="both"/>
              <w:rPr>
                <w:rFonts w:ascii="Arial" w:hAnsi="Arial" w:cs="Arial"/>
              </w:rPr>
            </w:pPr>
            <w:r w:rsidRPr="00C062A4">
              <w:rPr>
                <w:rFonts w:ascii="Arial" w:hAnsi="Arial" w:cs="Arial"/>
                <w:noProof/>
              </w:rPr>
              <w:drawing>
                <wp:inline distT="0" distB="0" distL="0" distR="0">
                  <wp:extent cx="2771775" cy="1945005"/>
                  <wp:effectExtent l="0" t="0" r="0" b="0"/>
                  <wp:docPr id="3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2772636" cy="1945609"/>
                          </a:xfrm>
                          <a:prstGeom prst="rect">
                            <a:avLst/>
                          </a:prstGeom>
                          <a:noFill/>
                          <a:ln w="9525">
                            <a:noFill/>
                            <a:miter lim="800000"/>
                            <a:headEnd/>
                            <a:tailEnd/>
                          </a:ln>
                        </pic:spPr>
                      </pic:pic>
                    </a:graphicData>
                  </a:graphic>
                </wp:inline>
              </w:drawing>
            </w:r>
          </w:p>
        </w:tc>
      </w:tr>
    </w:tbl>
    <w:p w:rsidR="0091089A" w:rsidRPr="00285844" w:rsidRDefault="0091089A">
      <w:pPr>
        <w:rPr>
          <w:rFonts w:ascii="Times New Roman" w:hAnsi="Times New Roman" w:cs="Times New Roman"/>
          <w:b/>
        </w:rPr>
      </w:pPr>
    </w:p>
    <w:p w:rsidR="0091089A" w:rsidRPr="00644F0F" w:rsidRDefault="0091089A" w:rsidP="0091089A">
      <w:pPr>
        <w:spacing w:line="480" w:lineRule="auto"/>
        <w:jc w:val="both"/>
        <w:rPr>
          <w:rFonts w:ascii="Arial" w:hAnsi="Arial" w:cs="Arial"/>
          <w:b/>
        </w:rPr>
      </w:pPr>
      <w:r w:rsidRPr="00644F0F">
        <w:rPr>
          <w:rFonts w:ascii="Arial" w:hAnsi="Arial" w:cs="Arial"/>
          <w:b/>
        </w:rPr>
        <w:t>Resultado fiscal corriente (en términos de gasto corriente)</w:t>
      </w:r>
    </w:p>
    <w:p w:rsidR="0091089A" w:rsidRDefault="005B286A" w:rsidP="00644F0F">
      <w:pPr>
        <w:spacing w:after="0" w:line="360" w:lineRule="auto"/>
        <w:jc w:val="both"/>
        <w:rPr>
          <w:rFonts w:ascii="Arial" w:hAnsi="Arial" w:cs="Arial"/>
        </w:rPr>
      </w:pPr>
      <w:r w:rsidRPr="00644F0F">
        <w:rPr>
          <w:rFonts w:ascii="Arial" w:hAnsi="Arial" w:cs="Arial"/>
        </w:rPr>
        <w:t xml:space="preserve">Este indicador se obtiene </w:t>
      </w:r>
      <w:r w:rsidR="00DF3741" w:rsidRPr="00644F0F">
        <w:rPr>
          <w:rFonts w:ascii="Arial" w:hAnsi="Arial" w:cs="Arial"/>
        </w:rPr>
        <w:t xml:space="preserve">como la diferencia entre el </w:t>
      </w:r>
      <w:r w:rsidR="0091089A" w:rsidRPr="00644F0F">
        <w:rPr>
          <w:rFonts w:ascii="Arial" w:hAnsi="Arial" w:cs="Arial"/>
        </w:rPr>
        <w:t xml:space="preserve">ingreso corriente </w:t>
      </w:r>
      <w:r w:rsidR="00DF3741" w:rsidRPr="00644F0F">
        <w:rPr>
          <w:rFonts w:ascii="Arial" w:hAnsi="Arial" w:cs="Arial"/>
        </w:rPr>
        <w:t>y el</w:t>
      </w:r>
      <w:r w:rsidR="0091089A" w:rsidRPr="00644F0F">
        <w:rPr>
          <w:rFonts w:ascii="Arial" w:hAnsi="Arial" w:cs="Arial"/>
        </w:rPr>
        <w:t xml:space="preserve"> gasto corriente</w:t>
      </w:r>
      <w:r w:rsidR="00A9263B" w:rsidRPr="00644F0F">
        <w:rPr>
          <w:rFonts w:ascii="Arial" w:hAnsi="Arial" w:cs="Arial"/>
        </w:rPr>
        <w:t xml:space="preserve">, </w:t>
      </w:r>
      <w:r w:rsidRPr="00644F0F">
        <w:rPr>
          <w:rFonts w:ascii="Arial" w:hAnsi="Arial" w:cs="Arial"/>
        </w:rPr>
        <w:t xml:space="preserve">entre </w:t>
      </w:r>
      <w:r w:rsidR="00A9263B" w:rsidRPr="00644F0F">
        <w:rPr>
          <w:rFonts w:ascii="Arial" w:hAnsi="Arial" w:cs="Arial"/>
        </w:rPr>
        <w:t>el gasto corriente total</w:t>
      </w:r>
      <w:r w:rsidR="00DF3741" w:rsidRPr="00644F0F">
        <w:rPr>
          <w:rFonts w:ascii="Arial" w:hAnsi="Arial" w:cs="Arial"/>
        </w:rPr>
        <w:t>.</w:t>
      </w:r>
      <w:r w:rsidR="00C0704A">
        <w:rPr>
          <w:rFonts w:ascii="Arial" w:hAnsi="Arial" w:cs="Arial"/>
        </w:rPr>
        <w:t xml:space="preserve"> </w:t>
      </w:r>
      <w:r w:rsidR="0091089A" w:rsidRPr="00644F0F">
        <w:rPr>
          <w:rFonts w:ascii="Arial" w:hAnsi="Arial" w:cs="Arial"/>
        </w:rPr>
        <w:t xml:space="preserve">Mientras mayor (menor) </w:t>
      </w:r>
      <w:r w:rsidRPr="00644F0F">
        <w:rPr>
          <w:rFonts w:ascii="Arial" w:hAnsi="Arial" w:cs="Arial"/>
        </w:rPr>
        <w:t>resulte</w:t>
      </w:r>
      <w:r w:rsidR="0091089A" w:rsidRPr="00644F0F">
        <w:rPr>
          <w:rFonts w:ascii="Arial" w:hAnsi="Arial" w:cs="Arial"/>
        </w:rPr>
        <w:t xml:space="preserve"> el valor observado en e</w:t>
      </w:r>
      <w:r w:rsidRPr="00644F0F">
        <w:rPr>
          <w:rFonts w:ascii="Arial" w:hAnsi="Arial" w:cs="Arial"/>
        </w:rPr>
        <w:t xml:space="preserve">ste </w:t>
      </w:r>
      <w:r w:rsidR="0091089A" w:rsidRPr="00644F0F">
        <w:rPr>
          <w:rFonts w:ascii="Arial" w:hAnsi="Arial" w:cs="Arial"/>
          <w:i/>
        </w:rPr>
        <w:t>ratio</w:t>
      </w:r>
      <w:r w:rsidR="0091089A" w:rsidRPr="00644F0F">
        <w:rPr>
          <w:rFonts w:ascii="Arial" w:hAnsi="Arial" w:cs="Arial"/>
        </w:rPr>
        <w:t xml:space="preserve">, mayor (menor) será la fortaleza de la provincia, pudiendo disponer de mayor cantidad de recursos para financiar su gasto de capital. </w:t>
      </w:r>
    </w:p>
    <w:p w:rsidR="00C0704A" w:rsidRDefault="00C0704A" w:rsidP="00644F0F">
      <w:pPr>
        <w:spacing w:after="0" w:line="360" w:lineRule="auto"/>
        <w:jc w:val="both"/>
        <w:rPr>
          <w:rFonts w:ascii="Arial" w:hAnsi="Arial" w:cs="Arial"/>
        </w:rPr>
      </w:pPr>
    </w:p>
    <w:p w:rsidR="00C250E6" w:rsidRPr="00C250E6" w:rsidRDefault="00C250E6" w:rsidP="00C250E6">
      <w:pPr>
        <w:pStyle w:val="Epgrafe"/>
        <w:keepNext/>
        <w:jc w:val="center"/>
        <w:rPr>
          <w:rFonts w:ascii="Arial" w:hAnsi="Arial" w:cs="Arial"/>
          <w:b/>
          <w:i w:val="0"/>
          <w:color w:val="000000" w:themeColor="text1"/>
          <w:sz w:val="22"/>
          <w:szCs w:val="22"/>
        </w:rPr>
      </w:pPr>
      <w:r w:rsidRPr="00C250E6">
        <w:rPr>
          <w:rFonts w:ascii="Arial" w:hAnsi="Arial" w:cs="Arial"/>
          <w:b/>
          <w:i w:val="0"/>
          <w:color w:val="000000" w:themeColor="text1"/>
          <w:sz w:val="22"/>
          <w:szCs w:val="22"/>
        </w:rPr>
        <w:t>Resultado Corriente/Gasto Corriente – 2017 – Por provincia y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4198"/>
      </w:tblGrid>
      <w:tr w:rsidR="00C250E6" w:rsidTr="00C250E6">
        <w:tc>
          <w:tcPr>
            <w:tcW w:w="4658" w:type="dxa"/>
          </w:tcPr>
          <w:p w:rsidR="00C250E6" w:rsidRDefault="00C062A4" w:rsidP="00644F0F">
            <w:pPr>
              <w:spacing w:line="360" w:lineRule="auto"/>
              <w:jc w:val="both"/>
              <w:rPr>
                <w:rFonts w:ascii="Arial" w:hAnsi="Arial" w:cs="Arial"/>
              </w:rPr>
            </w:pPr>
            <w:r>
              <w:rPr>
                <w:rFonts w:ascii="Arial" w:hAnsi="Arial" w:cs="Arial"/>
                <w:noProof/>
              </w:rPr>
              <w:drawing>
                <wp:inline distT="0" distB="0" distL="0" distR="0">
                  <wp:extent cx="3305175" cy="4006785"/>
                  <wp:effectExtent l="19050" t="0" r="9525" b="0"/>
                  <wp:docPr id="4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3305175" cy="4006785"/>
                          </a:xfrm>
                          <a:prstGeom prst="rect">
                            <a:avLst/>
                          </a:prstGeom>
                          <a:noFill/>
                          <a:ln w="9525">
                            <a:noFill/>
                            <a:miter lim="800000"/>
                            <a:headEnd/>
                            <a:tailEnd/>
                          </a:ln>
                        </pic:spPr>
                      </pic:pic>
                    </a:graphicData>
                  </a:graphic>
                </wp:inline>
              </w:drawing>
            </w:r>
          </w:p>
        </w:tc>
        <w:tc>
          <w:tcPr>
            <w:tcW w:w="4628" w:type="dxa"/>
          </w:tcPr>
          <w:p w:rsidR="00C250E6" w:rsidRDefault="00C250E6" w:rsidP="00644F0F">
            <w:pPr>
              <w:spacing w:line="360" w:lineRule="auto"/>
              <w:jc w:val="both"/>
              <w:rPr>
                <w:rFonts w:ascii="Arial" w:hAnsi="Arial" w:cs="Arial"/>
                <w:noProof/>
                <w:lang w:val="es-ES" w:eastAsia="es-ES"/>
              </w:rPr>
            </w:pPr>
          </w:p>
          <w:p w:rsidR="00C062A4" w:rsidRDefault="00C062A4" w:rsidP="00644F0F">
            <w:pPr>
              <w:spacing w:line="360" w:lineRule="auto"/>
              <w:jc w:val="both"/>
              <w:rPr>
                <w:rFonts w:ascii="Arial" w:hAnsi="Arial" w:cs="Arial"/>
              </w:rPr>
            </w:pPr>
            <w:r w:rsidRPr="00C062A4">
              <w:rPr>
                <w:rFonts w:ascii="Arial" w:hAnsi="Arial" w:cs="Arial"/>
                <w:noProof/>
              </w:rPr>
              <w:drawing>
                <wp:inline distT="0" distB="0" distL="0" distR="0">
                  <wp:extent cx="2700184" cy="1981200"/>
                  <wp:effectExtent l="19050" t="0" r="4916" b="0"/>
                  <wp:docPr id="4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2700184" cy="1981200"/>
                          </a:xfrm>
                          <a:prstGeom prst="rect">
                            <a:avLst/>
                          </a:prstGeom>
                          <a:noFill/>
                          <a:ln w="9525">
                            <a:noFill/>
                            <a:miter lim="800000"/>
                            <a:headEnd/>
                            <a:tailEnd/>
                          </a:ln>
                        </pic:spPr>
                      </pic:pic>
                    </a:graphicData>
                  </a:graphic>
                </wp:inline>
              </w:drawing>
            </w:r>
          </w:p>
        </w:tc>
      </w:tr>
    </w:tbl>
    <w:p w:rsidR="00C250E6" w:rsidRPr="00644F0F" w:rsidRDefault="00C250E6" w:rsidP="00644F0F">
      <w:pPr>
        <w:spacing w:after="0" w:line="360" w:lineRule="auto"/>
        <w:jc w:val="both"/>
        <w:rPr>
          <w:rFonts w:ascii="Arial" w:hAnsi="Arial" w:cs="Arial"/>
        </w:rPr>
      </w:pPr>
    </w:p>
    <w:p w:rsidR="005A378A" w:rsidRPr="00644F0F" w:rsidRDefault="005A378A" w:rsidP="00644F0F">
      <w:pPr>
        <w:spacing w:after="0" w:line="360" w:lineRule="auto"/>
        <w:jc w:val="both"/>
        <w:rPr>
          <w:rFonts w:ascii="Arial" w:hAnsi="Arial" w:cs="Arial"/>
        </w:rPr>
      </w:pPr>
      <w:r w:rsidRPr="00644F0F">
        <w:rPr>
          <w:rFonts w:ascii="Arial" w:hAnsi="Arial" w:cs="Arial"/>
        </w:rPr>
        <w:t xml:space="preserve">En 2017 el promedio </w:t>
      </w:r>
      <w:r w:rsidR="00C250E6">
        <w:rPr>
          <w:rFonts w:ascii="Arial" w:hAnsi="Arial" w:cs="Arial"/>
        </w:rPr>
        <w:t>provincial asume el valor de 5,2</w:t>
      </w:r>
      <w:r w:rsidRPr="00644F0F">
        <w:rPr>
          <w:rFonts w:ascii="Arial" w:hAnsi="Arial" w:cs="Arial"/>
        </w:rPr>
        <w:t xml:space="preserve">% en este indicador, con San Luis como la provincia con el mejor resultado observado (46,1%), y La Rioja el peor (-9,9%). </w:t>
      </w:r>
    </w:p>
    <w:p w:rsidR="00FE506E" w:rsidRDefault="005B286A" w:rsidP="00644F0F">
      <w:pPr>
        <w:spacing w:after="0" w:line="360" w:lineRule="auto"/>
        <w:jc w:val="both"/>
        <w:rPr>
          <w:rFonts w:ascii="Arial" w:hAnsi="Arial" w:cs="Arial"/>
        </w:rPr>
      </w:pPr>
      <w:r w:rsidRPr="00644F0F">
        <w:rPr>
          <w:rFonts w:ascii="Arial" w:hAnsi="Arial" w:cs="Arial"/>
        </w:rPr>
        <w:t xml:space="preserve">En </w:t>
      </w:r>
      <w:r w:rsidR="005A378A" w:rsidRPr="00644F0F">
        <w:rPr>
          <w:rFonts w:ascii="Arial" w:hAnsi="Arial" w:cs="Arial"/>
        </w:rPr>
        <w:t xml:space="preserve">dicho </w:t>
      </w:r>
      <w:r w:rsidR="0091089A" w:rsidRPr="00644F0F">
        <w:rPr>
          <w:rFonts w:ascii="Arial" w:hAnsi="Arial" w:cs="Arial"/>
        </w:rPr>
        <w:t>año</w:t>
      </w:r>
      <w:r w:rsidR="005A378A" w:rsidRPr="00644F0F">
        <w:rPr>
          <w:rFonts w:ascii="Arial" w:hAnsi="Arial" w:cs="Arial"/>
        </w:rPr>
        <w:t xml:space="preserve">, 9 </w:t>
      </w:r>
      <w:r w:rsidR="0091089A" w:rsidRPr="00644F0F">
        <w:rPr>
          <w:rFonts w:ascii="Arial" w:hAnsi="Arial" w:cs="Arial"/>
        </w:rPr>
        <w:t>de 24</w:t>
      </w:r>
      <w:r w:rsidR="005A378A" w:rsidRPr="00644F0F">
        <w:rPr>
          <w:rFonts w:ascii="Arial" w:hAnsi="Arial" w:cs="Arial"/>
        </w:rPr>
        <w:t xml:space="preserve"> provincias </w:t>
      </w:r>
      <w:r w:rsidRPr="00644F0F">
        <w:rPr>
          <w:rFonts w:ascii="Arial" w:hAnsi="Arial" w:cs="Arial"/>
        </w:rPr>
        <w:t xml:space="preserve">mostraron </w:t>
      </w:r>
      <w:r w:rsidR="0091089A" w:rsidRPr="00644F0F">
        <w:rPr>
          <w:rFonts w:ascii="Arial" w:hAnsi="Arial" w:cs="Arial"/>
        </w:rPr>
        <w:t xml:space="preserve">un </w:t>
      </w:r>
      <w:r w:rsidRPr="00644F0F">
        <w:rPr>
          <w:rFonts w:ascii="Arial" w:hAnsi="Arial" w:cs="Arial"/>
        </w:rPr>
        <w:t xml:space="preserve">resultado </w:t>
      </w:r>
      <w:r w:rsidR="00C0704A">
        <w:rPr>
          <w:rFonts w:ascii="Arial" w:hAnsi="Arial" w:cs="Arial"/>
        </w:rPr>
        <w:t xml:space="preserve">negativo. </w:t>
      </w:r>
      <w:r w:rsidRPr="00644F0F">
        <w:rPr>
          <w:rFonts w:ascii="Arial" w:hAnsi="Arial" w:cs="Arial"/>
        </w:rPr>
        <w:t xml:space="preserve">Cuyo fue la región con mejor resultado corriente en 2017, </w:t>
      </w:r>
      <w:r w:rsidR="005A378A" w:rsidRPr="00644F0F">
        <w:rPr>
          <w:rFonts w:ascii="Arial" w:hAnsi="Arial" w:cs="Arial"/>
        </w:rPr>
        <w:t xml:space="preserve">mientras </w:t>
      </w:r>
      <w:r w:rsidRPr="00644F0F">
        <w:rPr>
          <w:rFonts w:ascii="Arial" w:hAnsi="Arial" w:cs="Arial"/>
        </w:rPr>
        <w:t>la Patagonia expone el peor resultado, que en su conjunto muestra un déficit de 4,8% en dicho período.</w:t>
      </w:r>
    </w:p>
    <w:p w:rsidR="005F5627" w:rsidRDefault="005F5627" w:rsidP="0091089A">
      <w:pPr>
        <w:spacing w:line="480" w:lineRule="auto"/>
        <w:jc w:val="both"/>
        <w:rPr>
          <w:rFonts w:ascii="Arial" w:hAnsi="Arial" w:cs="Arial"/>
          <w:b/>
        </w:rPr>
      </w:pPr>
    </w:p>
    <w:p w:rsidR="00A04536" w:rsidRDefault="00A04536">
      <w:pPr>
        <w:rPr>
          <w:rFonts w:ascii="Arial" w:hAnsi="Arial" w:cs="Arial"/>
          <w:b/>
        </w:rPr>
      </w:pPr>
      <w:r>
        <w:rPr>
          <w:rFonts w:ascii="Arial" w:hAnsi="Arial" w:cs="Arial"/>
          <w:b/>
        </w:rPr>
        <w:br w:type="page"/>
      </w:r>
    </w:p>
    <w:p w:rsidR="0091089A" w:rsidRPr="00AB26DB" w:rsidRDefault="0091089A" w:rsidP="0091089A">
      <w:pPr>
        <w:spacing w:line="480" w:lineRule="auto"/>
        <w:jc w:val="both"/>
        <w:rPr>
          <w:rFonts w:ascii="Arial" w:hAnsi="Arial" w:cs="Arial"/>
          <w:b/>
        </w:rPr>
      </w:pPr>
      <w:r w:rsidRPr="00AB26DB">
        <w:rPr>
          <w:rFonts w:ascii="Arial" w:hAnsi="Arial" w:cs="Arial"/>
          <w:b/>
        </w:rPr>
        <w:t>Resultado financiero</w:t>
      </w:r>
      <w:r w:rsidR="00697B06">
        <w:rPr>
          <w:rFonts w:ascii="Arial" w:hAnsi="Arial" w:cs="Arial"/>
          <w:b/>
        </w:rPr>
        <w:t xml:space="preserve"> </w:t>
      </w:r>
      <w:r w:rsidRPr="00AB26DB">
        <w:rPr>
          <w:rFonts w:ascii="Arial" w:hAnsi="Arial" w:cs="Arial"/>
          <w:b/>
        </w:rPr>
        <w:t>(en términos del gasto total)</w:t>
      </w:r>
    </w:p>
    <w:p w:rsidR="005A378A" w:rsidRDefault="005A378A" w:rsidP="00AB26DB">
      <w:pPr>
        <w:spacing w:after="0" w:line="360" w:lineRule="auto"/>
        <w:jc w:val="both"/>
        <w:rPr>
          <w:rFonts w:ascii="Arial" w:hAnsi="Arial" w:cs="Arial"/>
        </w:rPr>
      </w:pPr>
      <w:r w:rsidRPr="00AB26DB">
        <w:rPr>
          <w:rFonts w:ascii="Arial" w:hAnsi="Arial" w:cs="Arial"/>
        </w:rPr>
        <w:t xml:space="preserve">Con respecto al </w:t>
      </w:r>
      <w:r w:rsidR="0091089A" w:rsidRPr="00AB26DB">
        <w:rPr>
          <w:rFonts w:ascii="Arial" w:hAnsi="Arial" w:cs="Arial"/>
          <w:i/>
        </w:rPr>
        <w:t xml:space="preserve">resultado financiero </w:t>
      </w:r>
      <w:r w:rsidR="0047380A" w:rsidRPr="00AB26DB">
        <w:rPr>
          <w:rFonts w:ascii="Arial" w:hAnsi="Arial" w:cs="Arial"/>
          <w:i/>
        </w:rPr>
        <w:t>(</w:t>
      </w:r>
      <w:r w:rsidR="0091089A" w:rsidRPr="00AB26DB">
        <w:rPr>
          <w:rFonts w:ascii="Arial" w:hAnsi="Arial" w:cs="Arial"/>
          <w:i/>
        </w:rPr>
        <w:t>en términos del gasto total</w:t>
      </w:r>
      <w:r w:rsidR="0047380A" w:rsidRPr="00AB26DB">
        <w:rPr>
          <w:rFonts w:ascii="Arial" w:hAnsi="Arial" w:cs="Arial"/>
          <w:i/>
        </w:rPr>
        <w:t>)</w:t>
      </w:r>
      <w:r w:rsidR="0091089A" w:rsidRPr="00AB26DB">
        <w:rPr>
          <w:rFonts w:ascii="Arial" w:hAnsi="Arial" w:cs="Arial"/>
        </w:rPr>
        <w:t>,</w:t>
      </w:r>
      <w:r w:rsidR="0047380A" w:rsidRPr="00AB26DB">
        <w:rPr>
          <w:rFonts w:ascii="Arial" w:hAnsi="Arial" w:cs="Arial"/>
        </w:rPr>
        <w:t xml:space="preserve"> calculado como la diferencia entre el ingreso total y el gasto total, </w:t>
      </w:r>
      <w:r w:rsidRPr="00AB26DB">
        <w:rPr>
          <w:rFonts w:ascii="Arial" w:hAnsi="Arial" w:cs="Arial"/>
        </w:rPr>
        <w:t>entre</w:t>
      </w:r>
      <w:r w:rsidR="0047380A" w:rsidRPr="00AB26DB">
        <w:rPr>
          <w:rFonts w:ascii="Arial" w:hAnsi="Arial" w:cs="Arial"/>
        </w:rPr>
        <w:t xml:space="preserve"> el gasto total</w:t>
      </w:r>
      <w:r w:rsidRPr="00AB26DB">
        <w:rPr>
          <w:rFonts w:ascii="Arial" w:hAnsi="Arial" w:cs="Arial"/>
        </w:rPr>
        <w:t>,</w:t>
      </w:r>
      <w:r w:rsidR="00697B06">
        <w:rPr>
          <w:rFonts w:ascii="Arial" w:hAnsi="Arial" w:cs="Arial"/>
        </w:rPr>
        <w:t xml:space="preserve"> </w:t>
      </w:r>
      <w:r w:rsidRPr="00AB26DB">
        <w:rPr>
          <w:rFonts w:ascii="Arial" w:hAnsi="Arial" w:cs="Arial"/>
        </w:rPr>
        <w:t xml:space="preserve">se considera que a mayor superávit mayor fortaleza fiscal para la provincia, pues expondrá menores necesidades de financiamiento. </w:t>
      </w:r>
    </w:p>
    <w:p w:rsidR="00A04536" w:rsidRDefault="00A04536" w:rsidP="00AB26DB">
      <w:pPr>
        <w:spacing w:after="0" w:line="360" w:lineRule="auto"/>
        <w:jc w:val="both"/>
        <w:rPr>
          <w:rFonts w:ascii="Arial" w:hAnsi="Arial" w:cs="Arial"/>
        </w:rPr>
      </w:pPr>
    </w:p>
    <w:p w:rsidR="00D30AF4" w:rsidRPr="00D30AF4" w:rsidRDefault="00D30AF4" w:rsidP="00D30AF4">
      <w:pPr>
        <w:pStyle w:val="Epgrafe"/>
        <w:keepNext/>
        <w:jc w:val="center"/>
        <w:rPr>
          <w:rFonts w:ascii="Arial" w:hAnsi="Arial" w:cs="Arial"/>
          <w:b/>
          <w:i w:val="0"/>
          <w:color w:val="000000" w:themeColor="text1"/>
          <w:sz w:val="22"/>
          <w:szCs w:val="22"/>
        </w:rPr>
      </w:pPr>
      <w:r w:rsidRPr="00D30AF4">
        <w:rPr>
          <w:rFonts w:ascii="Arial" w:hAnsi="Arial" w:cs="Arial"/>
          <w:b/>
          <w:i w:val="0"/>
          <w:color w:val="000000" w:themeColor="text1"/>
          <w:sz w:val="22"/>
          <w:szCs w:val="22"/>
        </w:rPr>
        <w:t>Resultado Financiero/Gasto Total – 2017 – Por provincia y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14"/>
      </w:tblGrid>
      <w:tr w:rsidR="00D30AF4" w:rsidTr="00D30AF4">
        <w:tc>
          <w:tcPr>
            <w:tcW w:w="4639" w:type="dxa"/>
          </w:tcPr>
          <w:p w:rsidR="00D30AF4" w:rsidRDefault="00EF7BAF" w:rsidP="00AB26DB">
            <w:pPr>
              <w:spacing w:line="360" w:lineRule="auto"/>
              <w:jc w:val="both"/>
              <w:rPr>
                <w:rFonts w:ascii="Arial" w:hAnsi="Arial" w:cs="Arial"/>
              </w:rPr>
            </w:pPr>
            <w:r>
              <w:rPr>
                <w:rFonts w:ascii="Arial" w:hAnsi="Arial" w:cs="Arial"/>
                <w:noProof/>
              </w:rPr>
              <w:drawing>
                <wp:inline distT="0" distB="0" distL="0" distR="0">
                  <wp:extent cx="2981325" cy="4107988"/>
                  <wp:effectExtent l="19050" t="0" r="0" b="0"/>
                  <wp:docPr id="4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2983403" cy="4110852"/>
                          </a:xfrm>
                          <a:prstGeom prst="rect">
                            <a:avLst/>
                          </a:prstGeom>
                          <a:noFill/>
                          <a:ln w="9525">
                            <a:noFill/>
                            <a:miter lim="800000"/>
                            <a:headEnd/>
                            <a:tailEnd/>
                          </a:ln>
                        </pic:spPr>
                      </pic:pic>
                    </a:graphicData>
                  </a:graphic>
                </wp:inline>
              </w:drawing>
            </w:r>
          </w:p>
        </w:tc>
        <w:tc>
          <w:tcPr>
            <w:tcW w:w="4605" w:type="dxa"/>
          </w:tcPr>
          <w:p w:rsidR="00D30AF4" w:rsidRDefault="00D30AF4" w:rsidP="00AB26DB">
            <w:pPr>
              <w:spacing w:line="360" w:lineRule="auto"/>
              <w:jc w:val="both"/>
              <w:rPr>
                <w:rFonts w:ascii="Arial" w:hAnsi="Arial" w:cs="Arial"/>
                <w:noProof/>
                <w:lang w:val="es-ES" w:eastAsia="es-ES"/>
              </w:rPr>
            </w:pPr>
          </w:p>
          <w:p w:rsidR="00EF7BAF" w:rsidRDefault="00EF7BAF" w:rsidP="00AB26DB">
            <w:pPr>
              <w:spacing w:line="360" w:lineRule="auto"/>
              <w:jc w:val="both"/>
              <w:rPr>
                <w:rFonts w:ascii="Arial" w:hAnsi="Arial" w:cs="Arial"/>
              </w:rPr>
            </w:pPr>
            <w:r w:rsidRPr="00EF7BAF">
              <w:rPr>
                <w:rFonts w:ascii="Arial" w:hAnsi="Arial" w:cs="Arial"/>
                <w:noProof/>
              </w:rPr>
              <w:drawing>
                <wp:inline distT="0" distB="0" distL="0" distR="0">
                  <wp:extent cx="2686009" cy="1833181"/>
                  <wp:effectExtent l="19050" t="0" r="41" b="0"/>
                  <wp:docPr id="4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2686009" cy="1833181"/>
                          </a:xfrm>
                          <a:prstGeom prst="rect">
                            <a:avLst/>
                          </a:prstGeom>
                          <a:noFill/>
                          <a:ln w="9525">
                            <a:noFill/>
                            <a:miter lim="800000"/>
                            <a:headEnd/>
                            <a:tailEnd/>
                          </a:ln>
                        </pic:spPr>
                      </pic:pic>
                    </a:graphicData>
                  </a:graphic>
                </wp:inline>
              </w:drawing>
            </w:r>
          </w:p>
        </w:tc>
      </w:tr>
    </w:tbl>
    <w:p w:rsidR="00D30AF4" w:rsidRPr="00AB26DB" w:rsidRDefault="00D30AF4" w:rsidP="00AB26DB">
      <w:pPr>
        <w:spacing w:after="0" w:line="360" w:lineRule="auto"/>
        <w:jc w:val="both"/>
        <w:rPr>
          <w:rFonts w:ascii="Arial" w:hAnsi="Arial" w:cs="Arial"/>
        </w:rPr>
      </w:pPr>
    </w:p>
    <w:p w:rsidR="005A378A" w:rsidRDefault="005A378A" w:rsidP="00AB26DB">
      <w:pPr>
        <w:spacing w:after="0" w:line="360" w:lineRule="auto"/>
        <w:jc w:val="both"/>
        <w:rPr>
          <w:rFonts w:ascii="Arial" w:hAnsi="Arial" w:cs="Arial"/>
        </w:rPr>
      </w:pPr>
      <w:r w:rsidRPr="00AB26DB">
        <w:rPr>
          <w:rFonts w:ascii="Arial" w:hAnsi="Arial" w:cs="Arial"/>
        </w:rPr>
        <w:t xml:space="preserve">En 2017 </w:t>
      </w:r>
      <w:r w:rsidR="0091089A" w:rsidRPr="00AB26DB">
        <w:rPr>
          <w:rFonts w:ascii="Arial" w:hAnsi="Arial" w:cs="Arial"/>
        </w:rPr>
        <w:t>sólo 3 provincias obtuvieron un ratio positivo</w:t>
      </w:r>
      <w:r w:rsidRPr="00AB26DB">
        <w:rPr>
          <w:rFonts w:ascii="Arial" w:hAnsi="Arial" w:cs="Arial"/>
        </w:rPr>
        <w:t xml:space="preserve"> para la Administración Pública No Financiera, los casos de San Juan, Catamarca y Santiago del Estero.</w:t>
      </w:r>
      <w:r w:rsidR="00C0704A">
        <w:rPr>
          <w:rFonts w:ascii="Arial" w:hAnsi="Arial" w:cs="Arial"/>
        </w:rPr>
        <w:t xml:space="preserve"> </w:t>
      </w:r>
      <w:r w:rsidR="0091089A" w:rsidRPr="00AB26DB">
        <w:rPr>
          <w:rFonts w:ascii="Arial" w:hAnsi="Arial" w:cs="Arial"/>
        </w:rPr>
        <w:t>El resto de las provincias</w:t>
      </w:r>
      <w:r w:rsidRPr="00AB26DB">
        <w:rPr>
          <w:rFonts w:ascii="Arial" w:hAnsi="Arial" w:cs="Arial"/>
        </w:rPr>
        <w:t xml:space="preserve"> mostraron </w:t>
      </w:r>
      <w:r w:rsidR="0091089A" w:rsidRPr="00AB26DB">
        <w:rPr>
          <w:rFonts w:ascii="Arial" w:hAnsi="Arial" w:cs="Arial"/>
        </w:rPr>
        <w:t xml:space="preserve">resultados </w:t>
      </w:r>
      <w:r w:rsidRPr="00AB26DB">
        <w:rPr>
          <w:rFonts w:ascii="Arial" w:hAnsi="Arial" w:cs="Arial"/>
        </w:rPr>
        <w:t xml:space="preserve">negativos en 2017, </w:t>
      </w:r>
      <w:r w:rsidR="0091089A" w:rsidRPr="00AB26DB">
        <w:rPr>
          <w:rFonts w:ascii="Arial" w:hAnsi="Arial" w:cs="Arial"/>
        </w:rPr>
        <w:t xml:space="preserve">que van </w:t>
      </w:r>
      <w:r w:rsidRPr="00AB26DB">
        <w:rPr>
          <w:rFonts w:ascii="Arial" w:hAnsi="Arial" w:cs="Arial"/>
        </w:rPr>
        <w:t>desde 1</w:t>
      </w:r>
      <w:r w:rsidR="0091089A" w:rsidRPr="00AB26DB">
        <w:rPr>
          <w:rFonts w:ascii="Arial" w:hAnsi="Arial" w:cs="Arial"/>
        </w:rPr>
        <w:t xml:space="preserve">,2% </w:t>
      </w:r>
      <w:r w:rsidRPr="00AB26DB">
        <w:rPr>
          <w:rFonts w:ascii="Arial" w:hAnsi="Arial" w:cs="Arial"/>
        </w:rPr>
        <w:t xml:space="preserve">en </w:t>
      </w:r>
      <w:r w:rsidR="0091089A" w:rsidRPr="00AB26DB">
        <w:rPr>
          <w:rFonts w:ascii="Arial" w:hAnsi="Arial" w:cs="Arial"/>
        </w:rPr>
        <w:t xml:space="preserve">Formosa </w:t>
      </w:r>
      <w:r w:rsidRPr="00AB26DB">
        <w:rPr>
          <w:rFonts w:ascii="Arial" w:hAnsi="Arial" w:cs="Arial"/>
        </w:rPr>
        <w:t>a</w:t>
      </w:r>
      <w:r w:rsidR="0091089A" w:rsidRPr="00AB26DB">
        <w:rPr>
          <w:rFonts w:ascii="Arial" w:hAnsi="Arial" w:cs="Arial"/>
        </w:rPr>
        <w:t xml:space="preserve"> un 16,1% </w:t>
      </w:r>
      <w:r w:rsidRPr="00AB26DB">
        <w:rPr>
          <w:rFonts w:ascii="Arial" w:hAnsi="Arial" w:cs="Arial"/>
        </w:rPr>
        <w:t xml:space="preserve">en </w:t>
      </w:r>
      <w:r w:rsidR="0091089A" w:rsidRPr="00AB26DB">
        <w:rPr>
          <w:rFonts w:ascii="Arial" w:hAnsi="Arial" w:cs="Arial"/>
        </w:rPr>
        <w:t xml:space="preserve">Chubut. </w:t>
      </w:r>
      <w:r w:rsidRPr="00AB26DB">
        <w:rPr>
          <w:rFonts w:ascii="Arial" w:hAnsi="Arial" w:cs="Arial"/>
        </w:rPr>
        <w:t>E</w:t>
      </w:r>
      <w:r w:rsidR="0091089A" w:rsidRPr="00AB26DB">
        <w:rPr>
          <w:rFonts w:ascii="Arial" w:hAnsi="Arial" w:cs="Arial"/>
        </w:rPr>
        <w:t>l promedio provincial (consolidado) también obtuvo un valor neg</w:t>
      </w:r>
      <w:r w:rsidR="00C0704A">
        <w:rPr>
          <w:rFonts w:ascii="Arial" w:hAnsi="Arial" w:cs="Arial"/>
        </w:rPr>
        <w:t xml:space="preserve">ativo en este indicador: -4,6%. </w:t>
      </w:r>
      <w:r w:rsidRPr="00AB26DB">
        <w:rPr>
          <w:rFonts w:ascii="Arial" w:hAnsi="Arial" w:cs="Arial"/>
        </w:rPr>
        <w:t>La región de Cuyo expuso equilibrio en 2017, mientras el resto de las regiones resultaron deficitarias, en especial la Patagonia, con un desequilibrio cercano al 10% de su gasto total.</w:t>
      </w:r>
    </w:p>
    <w:p w:rsidR="005F5627" w:rsidRPr="00AB26DB" w:rsidRDefault="005F5627" w:rsidP="00AB26DB">
      <w:pPr>
        <w:spacing w:after="0" w:line="360" w:lineRule="auto"/>
        <w:jc w:val="both"/>
        <w:rPr>
          <w:rFonts w:ascii="Arial" w:hAnsi="Arial" w:cs="Arial"/>
        </w:rPr>
      </w:pPr>
    </w:p>
    <w:p w:rsidR="00A04536" w:rsidRDefault="00A04536">
      <w:pPr>
        <w:rPr>
          <w:rFonts w:ascii="Arial" w:hAnsi="Arial" w:cs="Arial"/>
          <w:b/>
          <w:u w:val="single"/>
        </w:rPr>
      </w:pPr>
      <w:r>
        <w:rPr>
          <w:rFonts w:ascii="Arial" w:hAnsi="Arial" w:cs="Arial"/>
          <w:b/>
          <w:u w:val="single"/>
        </w:rPr>
        <w:br w:type="page"/>
      </w:r>
    </w:p>
    <w:p w:rsidR="00971168" w:rsidRDefault="00971168" w:rsidP="00AB26DB">
      <w:pPr>
        <w:spacing w:after="0" w:line="360" w:lineRule="auto"/>
        <w:jc w:val="both"/>
        <w:rPr>
          <w:rFonts w:ascii="Arial" w:hAnsi="Arial" w:cs="Arial"/>
          <w:b/>
        </w:rPr>
      </w:pPr>
      <w:r w:rsidRPr="00AB26DB">
        <w:rPr>
          <w:rFonts w:ascii="Arial" w:hAnsi="Arial" w:cs="Arial"/>
          <w:b/>
          <w:u w:val="single"/>
        </w:rPr>
        <w:t>Indicadores relacionados con la deuda pública</w:t>
      </w:r>
      <w:r w:rsidRPr="00AB26DB">
        <w:rPr>
          <w:rFonts w:ascii="Arial" w:hAnsi="Arial" w:cs="Arial"/>
          <w:b/>
        </w:rPr>
        <w:t>:</w:t>
      </w:r>
    </w:p>
    <w:p w:rsidR="0084386F" w:rsidRPr="00AB26DB" w:rsidRDefault="0084386F" w:rsidP="00AB26DB">
      <w:pPr>
        <w:spacing w:after="0" w:line="360" w:lineRule="auto"/>
        <w:jc w:val="both"/>
        <w:rPr>
          <w:rFonts w:ascii="Arial" w:hAnsi="Arial" w:cs="Arial"/>
          <w:b/>
        </w:rPr>
      </w:pPr>
    </w:p>
    <w:p w:rsidR="0091089A" w:rsidRDefault="0091089A" w:rsidP="00AB26DB">
      <w:pPr>
        <w:spacing w:after="0" w:line="360" w:lineRule="auto"/>
        <w:jc w:val="both"/>
        <w:rPr>
          <w:rFonts w:ascii="Arial" w:hAnsi="Arial" w:cs="Arial"/>
          <w:b/>
        </w:rPr>
      </w:pPr>
      <w:r w:rsidRPr="00AB26DB">
        <w:rPr>
          <w:rFonts w:ascii="Arial" w:hAnsi="Arial" w:cs="Arial"/>
          <w:b/>
        </w:rPr>
        <w:t>Stock de deuda (en términos de ingresos corrientes)</w:t>
      </w:r>
    </w:p>
    <w:p w:rsidR="0084386F" w:rsidRPr="00AB26DB" w:rsidRDefault="0084386F" w:rsidP="00AB26DB">
      <w:pPr>
        <w:spacing w:after="0" w:line="360" w:lineRule="auto"/>
        <w:jc w:val="both"/>
        <w:rPr>
          <w:rFonts w:ascii="Arial" w:hAnsi="Arial" w:cs="Arial"/>
          <w:b/>
        </w:rPr>
      </w:pPr>
    </w:p>
    <w:p w:rsidR="0091089A" w:rsidRDefault="0091089A" w:rsidP="005F5627">
      <w:pPr>
        <w:spacing w:after="0" w:line="360" w:lineRule="auto"/>
        <w:jc w:val="both"/>
        <w:rPr>
          <w:rFonts w:ascii="Arial" w:hAnsi="Arial" w:cs="Arial"/>
        </w:rPr>
      </w:pPr>
      <w:r w:rsidRPr="00AB26DB">
        <w:rPr>
          <w:rFonts w:ascii="Arial" w:hAnsi="Arial" w:cs="Arial"/>
        </w:rPr>
        <w:t xml:space="preserve">El último dato disponible del stock de deuda por provincia, provisto por el Ministerio de Hacienda y Finanzas Públicas, es al 31/03/2017. </w:t>
      </w:r>
      <w:r w:rsidR="00C13BB4" w:rsidRPr="00AB26DB">
        <w:rPr>
          <w:rFonts w:ascii="Arial" w:hAnsi="Arial" w:cs="Arial"/>
        </w:rPr>
        <w:t xml:space="preserve">Un </w:t>
      </w:r>
      <w:r w:rsidRPr="00AB26DB">
        <w:rPr>
          <w:rFonts w:ascii="Arial" w:hAnsi="Arial" w:cs="Arial"/>
          <w:i/>
        </w:rPr>
        <w:t>ratio</w:t>
      </w:r>
      <w:r w:rsidRPr="00AB26DB">
        <w:rPr>
          <w:rFonts w:ascii="Arial" w:hAnsi="Arial" w:cs="Arial"/>
        </w:rPr>
        <w:t xml:space="preserve"> bajo (alto) i</w:t>
      </w:r>
      <w:r w:rsidR="00C13BB4" w:rsidRPr="00AB26DB">
        <w:rPr>
          <w:rFonts w:ascii="Arial" w:hAnsi="Arial" w:cs="Arial"/>
        </w:rPr>
        <w:t xml:space="preserve">ndicaría </w:t>
      </w:r>
      <w:r w:rsidRPr="00AB26DB">
        <w:rPr>
          <w:rFonts w:ascii="Arial" w:hAnsi="Arial" w:cs="Arial"/>
        </w:rPr>
        <w:t>m</w:t>
      </w:r>
      <w:r w:rsidR="00C13BB4" w:rsidRPr="00AB26DB">
        <w:rPr>
          <w:rFonts w:ascii="Arial" w:hAnsi="Arial" w:cs="Arial"/>
        </w:rPr>
        <w:t>ayor</w:t>
      </w:r>
      <w:r w:rsidRPr="00AB26DB">
        <w:rPr>
          <w:rFonts w:ascii="Arial" w:hAnsi="Arial" w:cs="Arial"/>
        </w:rPr>
        <w:t xml:space="preserve"> (meno</w:t>
      </w:r>
      <w:r w:rsidR="00C13BB4" w:rsidRPr="00AB26DB">
        <w:rPr>
          <w:rFonts w:ascii="Arial" w:hAnsi="Arial" w:cs="Arial"/>
        </w:rPr>
        <w:t>r</w:t>
      </w:r>
      <w:r w:rsidR="005F5627">
        <w:rPr>
          <w:rFonts w:ascii="Arial" w:hAnsi="Arial" w:cs="Arial"/>
        </w:rPr>
        <w:t xml:space="preserve">) fortaleza fiscal. </w:t>
      </w:r>
    </w:p>
    <w:p w:rsidR="009F65A6" w:rsidRDefault="009F65A6" w:rsidP="005F5627">
      <w:pPr>
        <w:spacing w:after="0" w:line="360" w:lineRule="auto"/>
        <w:jc w:val="both"/>
        <w:rPr>
          <w:rFonts w:ascii="Arial" w:hAnsi="Arial" w:cs="Arial"/>
        </w:rPr>
      </w:pPr>
    </w:p>
    <w:p w:rsidR="00D30AF4" w:rsidRPr="00D30AF4" w:rsidRDefault="00D30AF4" w:rsidP="00D30AF4">
      <w:pPr>
        <w:pStyle w:val="Epgrafe"/>
        <w:keepNext/>
        <w:jc w:val="center"/>
        <w:rPr>
          <w:rFonts w:ascii="Arial" w:hAnsi="Arial" w:cs="Arial"/>
          <w:b/>
          <w:i w:val="0"/>
          <w:color w:val="000000" w:themeColor="text1"/>
          <w:sz w:val="22"/>
          <w:szCs w:val="22"/>
        </w:rPr>
      </w:pPr>
      <w:r w:rsidRPr="00D30AF4">
        <w:rPr>
          <w:rFonts w:ascii="Arial" w:hAnsi="Arial" w:cs="Arial"/>
          <w:b/>
          <w:i w:val="0"/>
          <w:color w:val="000000" w:themeColor="text1"/>
          <w:sz w:val="22"/>
          <w:szCs w:val="22"/>
        </w:rPr>
        <w:t>Stock de Deuda/Ingresos Corrientes – 31/03/2017 – Por provincia y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596"/>
      </w:tblGrid>
      <w:tr w:rsidR="00D30AF4" w:rsidTr="00D30AF4">
        <w:tc>
          <w:tcPr>
            <w:tcW w:w="4605" w:type="dxa"/>
          </w:tcPr>
          <w:p w:rsidR="00D30AF4" w:rsidRDefault="00D30AF4" w:rsidP="005F5627">
            <w:pPr>
              <w:spacing w:line="360" w:lineRule="auto"/>
              <w:jc w:val="both"/>
              <w:rPr>
                <w:rFonts w:ascii="Arial" w:hAnsi="Arial" w:cs="Arial"/>
              </w:rPr>
            </w:pPr>
            <w:r w:rsidRPr="00D30AF4">
              <w:rPr>
                <w:rFonts w:ascii="Arial" w:hAnsi="Arial" w:cs="Arial"/>
                <w:noProof/>
              </w:rPr>
              <w:drawing>
                <wp:inline distT="0" distB="0" distL="0" distR="0">
                  <wp:extent cx="2884865" cy="3981450"/>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1811" cy="3991037"/>
                          </a:xfrm>
                          <a:prstGeom prst="rect">
                            <a:avLst/>
                          </a:prstGeom>
                          <a:noFill/>
                          <a:ln>
                            <a:noFill/>
                          </a:ln>
                        </pic:spPr>
                      </pic:pic>
                    </a:graphicData>
                  </a:graphic>
                </wp:inline>
              </w:drawing>
            </w:r>
          </w:p>
        </w:tc>
        <w:tc>
          <w:tcPr>
            <w:tcW w:w="4656" w:type="dxa"/>
          </w:tcPr>
          <w:p w:rsidR="00D30AF4" w:rsidRDefault="00D30AF4" w:rsidP="005F5627">
            <w:pPr>
              <w:spacing w:line="360" w:lineRule="auto"/>
              <w:jc w:val="both"/>
              <w:rPr>
                <w:rFonts w:ascii="Arial" w:hAnsi="Arial" w:cs="Arial"/>
                <w:noProof/>
                <w:lang w:val="es-ES" w:eastAsia="es-ES"/>
              </w:rPr>
            </w:pPr>
          </w:p>
          <w:p w:rsidR="00097464" w:rsidRDefault="00097464" w:rsidP="005F5627">
            <w:pPr>
              <w:spacing w:line="360" w:lineRule="auto"/>
              <w:jc w:val="both"/>
              <w:rPr>
                <w:rFonts w:ascii="Arial" w:hAnsi="Arial" w:cs="Arial"/>
              </w:rPr>
            </w:pPr>
            <w:r w:rsidRPr="00097464">
              <w:rPr>
                <w:rFonts w:ascii="Arial" w:hAnsi="Arial" w:cs="Arial"/>
                <w:noProof/>
              </w:rPr>
              <w:drawing>
                <wp:inline distT="0" distB="0" distL="0" distR="0">
                  <wp:extent cx="2824182" cy="1943100"/>
                  <wp:effectExtent l="19050" t="0" r="0" b="0"/>
                  <wp:docPr id="5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2824182" cy="1943100"/>
                          </a:xfrm>
                          <a:prstGeom prst="rect">
                            <a:avLst/>
                          </a:prstGeom>
                          <a:noFill/>
                          <a:ln w="9525">
                            <a:noFill/>
                            <a:miter lim="800000"/>
                            <a:headEnd/>
                            <a:tailEnd/>
                          </a:ln>
                        </pic:spPr>
                      </pic:pic>
                    </a:graphicData>
                  </a:graphic>
                </wp:inline>
              </w:drawing>
            </w:r>
          </w:p>
        </w:tc>
      </w:tr>
    </w:tbl>
    <w:p w:rsidR="00D30AF4" w:rsidRPr="005F5627" w:rsidRDefault="00D30AF4" w:rsidP="005F5627">
      <w:pPr>
        <w:spacing w:after="0" w:line="360" w:lineRule="auto"/>
        <w:jc w:val="both"/>
        <w:rPr>
          <w:rFonts w:ascii="Arial" w:hAnsi="Arial" w:cs="Arial"/>
        </w:rPr>
      </w:pPr>
    </w:p>
    <w:p w:rsidR="0091089A" w:rsidRPr="00AB26DB" w:rsidRDefault="0091089A" w:rsidP="00AB26DB">
      <w:pPr>
        <w:spacing w:after="0" w:line="360" w:lineRule="auto"/>
        <w:jc w:val="both"/>
        <w:rPr>
          <w:rFonts w:ascii="Arial" w:hAnsi="Arial" w:cs="Arial"/>
        </w:rPr>
      </w:pPr>
      <w:r w:rsidRPr="00AB26DB">
        <w:rPr>
          <w:rFonts w:ascii="Arial" w:hAnsi="Arial" w:cs="Arial"/>
        </w:rPr>
        <w:t xml:space="preserve">Chubut es la provincia </w:t>
      </w:r>
      <w:r w:rsidR="00C13BB4" w:rsidRPr="00AB26DB">
        <w:rPr>
          <w:rFonts w:ascii="Arial" w:hAnsi="Arial" w:cs="Arial"/>
        </w:rPr>
        <w:t xml:space="preserve">con el </w:t>
      </w:r>
      <w:r w:rsidRPr="00AB26DB">
        <w:rPr>
          <w:rFonts w:ascii="Arial" w:hAnsi="Arial" w:cs="Arial"/>
        </w:rPr>
        <w:t>peor resultado</w:t>
      </w:r>
      <w:r w:rsidR="00C13BB4" w:rsidRPr="00AB26DB">
        <w:rPr>
          <w:rFonts w:ascii="Arial" w:hAnsi="Arial" w:cs="Arial"/>
        </w:rPr>
        <w:t xml:space="preserve"> (</w:t>
      </w:r>
      <w:r w:rsidRPr="00AB26DB">
        <w:rPr>
          <w:rFonts w:ascii="Arial" w:hAnsi="Arial" w:cs="Arial"/>
        </w:rPr>
        <w:t>52,3%</w:t>
      </w:r>
      <w:r w:rsidR="00C13BB4" w:rsidRPr="00AB26DB">
        <w:rPr>
          <w:rFonts w:ascii="Arial" w:hAnsi="Arial" w:cs="Arial"/>
        </w:rPr>
        <w:t>)</w:t>
      </w:r>
      <w:r w:rsidRPr="00AB26DB">
        <w:rPr>
          <w:rFonts w:ascii="Arial" w:hAnsi="Arial" w:cs="Arial"/>
        </w:rPr>
        <w:t xml:space="preserve"> y San Luis</w:t>
      </w:r>
      <w:r w:rsidR="00C13BB4" w:rsidRPr="00AB26DB">
        <w:rPr>
          <w:rFonts w:ascii="Arial" w:hAnsi="Arial" w:cs="Arial"/>
        </w:rPr>
        <w:t xml:space="preserve"> muestra </w:t>
      </w:r>
      <w:r w:rsidRPr="00AB26DB">
        <w:rPr>
          <w:rFonts w:ascii="Arial" w:hAnsi="Arial" w:cs="Arial"/>
        </w:rPr>
        <w:t>la mejor posición</w:t>
      </w:r>
      <w:r w:rsidR="00C13BB4" w:rsidRPr="00AB26DB">
        <w:rPr>
          <w:rFonts w:ascii="Arial" w:hAnsi="Arial" w:cs="Arial"/>
        </w:rPr>
        <w:t xml:space="preserve"> (</w:t>
      </w:r>
      <w:r w:rsidRPr="00AB26DB">
        <w:rPr>
          <w:rFonts w:ascii="Arial" w:hAnsi="Arial" w:cs="Arial"/>
        </w:rPr>
        <w:t>1,2%</w:t>
      </w:r>
      <w:r w:rsidR="00C13BB4" w:rsidRPr="00AB26DB">
        <w:rPr>
          <w:rFonts w:ascii="Arial" w:hAnsi="Arial" w:cs="Arial"/>
        </w:rPr>
        <w:t>)</w:t>
      </w:r>
      <w:r w:rsidRPr="00AB26DB">
        <w:rPr>
          <w:rFonts w:ascii="Arial" w:hAnsi="Arial" w:cs="Arial"/>
        </w:rPr>
        <w:t>.</w:t>
      </w:r>
      <w:r w:rsidR="00C13BB4" w:rsidRPr="00AB26DB">
        <w:rPr>
          <w:rFonts w:ascii="Arial" w:hAnsi="Arial" w:cs="Arial"/>
        </w:rPr>
        <w:t xml:space="preserve">Regionalmente, la Patagonia se halla más comprometida con su endeudamiento, mientras el Noreste presenta los menores </w:t>
      </w:r>
      <w:r w:rsidR="00C13BB4" w:rsidRPr="00AB26DB">
        <w:rPr>
          <w:rFonts w:ascii="Arial" w:hAnsi="Arial" w:cs="Arial"/>
          <w:i/>
        </w:rPr>
        <w:t>ratios</w:t>
      </w:r>
      <w:r w:rsidRPr="00AB26DB">
        <w:rPr>
          <w:rFonts w:ascii="Arial" w:hAnsi="Arial" w:cs="Arial"/>
        </w:rPr>
        <w:t xml:space="preserve">. </w:t>
      </w:r>
    </w:p>
    <w:p w:rsidR="0091089A" w:rsidRPr="00285844" w:rsidRDefault="0091089A">
      <w:pPr>
        <w:rPr>
          <w:rFonts w:ascii="Times New Roman" w:eastAsiaTheme="majorEastAsia" w:hAnsi="Times New Roman" w:cs="Times New Roman"/>
          <w:b/>
        </w:rPr>
      </w:pPr>
    </w:p>
    <w:p w:rsidR="00DE5BBD" w:rsidRPr="00AB26DB" w:rsidRDefault="008366AC" w:rsidP="0044242D">
      <w:pPr>
        <w:spacing w:line="480" w:lineRule="auto"/>
        <w:jc w:val="both"/>
        <w:rPr>
          <w:rFonts w:ascii="Arial" w:hAnsi="Arial" w:cs="Arial"/>
          <w:b/>
        </w:rPr>
      </w:pPr>
      <w:r w:rsidRPr="00AB26DB">
        <w:rPr>
          <w:rFonts w:ascii="Arial" w:hAnsi="Arial" w:cs="Arial"/>
          <w:b/>
        </w:rPr>
        <w:t>Servicios de la deuda (en términos de ingresos corrientes netos de coparticipación a municipios)</w:t>
      </w:r>
    </w:p>
    <w:p w:rsidR="00B93670" w:rsidRPr="00AB26DB" w:rsidRDefault="00C13BB4" w:rsidP="00AB26DB">
      <w:pPr>
        <w:spacing w:after="0" w:line="360" w:lineRule="auto"/>
        <w:jc w:val="both"/>
        <w:rPr>
          <w:rFonts w:ascii="Arial" w:hAnsi="Arial" w:cs="Arial"/>
        </w:rPr>
      </w:pPr>
      <w:r w:rsidRPr="00AB26DB">
        <w:rPr>
          <w:rFonts w:ascii="Arial" w:hAnsi="Arial" w:cs="Arial"/>
        </w:rPr>
        <w:t>Este indicador fue posible de construir c</w:t>
      </w:r>
      <w:r w:rsidR="0044242D" w:rsidRPr="00AB26DB">
        <w:rPr>
          <w:rFonts w:ascii="Arial" w:hAnsi="Arial" w:cs="Arial"/>
        </w:rPr>
        <w:t>on datos provistos por el Ministerio del Interior para las 24 provincias argentinas (23 + la Ciudad Autónoma de Buenos Aires)</w:t>
      </w:r>
      <w:r w:rsidR="00B93670" w:rsidRPr="00AB26DB">
        <w:rPr>
          <w:rFonts w:ascii="Arial" w:hAnsi="Arial" w:cs="Arial"/>
        </w:rPr>
        <w:t xml:space="preserve"> para el año 2018.</w:t>
      </w:r>
    </w:p>
    <w:p w:rsidR="0044242D" w:rsidRDefault="00C13BB4" w:rsidP="00AB26DB">
      <w:pPr>
        <w:spacing w:after="0" w:line="360" w:lineRule="auto"/>
        <w:jc w:val="both"/>
        <w:rPr>
          <w:rFonts w:ascii="Arial" w:hAnsi="Arial" w:cs="Arial"/>
        </w:rPr>
      </w:pPr>
      <w:r w:rsidRPr="00AB26DB">
        <w:rPr>
          <w:rFonts w:ascii="Arial" w:hAnsi="Arial" w:cs="Arial"/>
        </w:rPr>
        <w:t xml:space="preserve">Según la Ley de Responsabilidad Fiscal, este indicador no debería exceder del 15% en ningún año. </w:t>
      </w:r>
    </w:p>
    <w:p w:rsidR="00A04536" w:rsidRDefault="00A04536" w:rsidP="00AB26DB">
      <w:pPr>
        <w:spacing w:after="0" w:line="360" w:lineRule="auto"/>
        <w:jc w:val="both"/>
        <w:rPr>
          <w:rFonts w:ascii="Arial" w:hAnsi="Arial" w:cs="Arial"/>
        </w:rPr>
      </w:pPr>
    </w:p>
    <w:p w:rsidR="00E408C1" w:rsidRPr="00E408C1" w:rsidRDefault="00E408C1" w:rsidP="00E408C1">
      <w:pPr>
        <w:pStyle w:val="Epgrafe"/>
        <w:keepNext/>
        <w:jc w:val="center"/>
        <w:rPr>
          <w:rFonts w:ascii="Arial" w:hAnsi="Arial" w:cs="Arial"/>
          <w:b/>
          <w:i w:val="0"/>
          <w:color w:val="000000" w:themeColor="text1"/>
          <w:sz w:val="22"/>
          <w:szCs w:val="22"/>
        </w:rPr>
      </w:pPr>
      <w:r w:rsidRPr="00E408C1">
        <w:rPr>
          <w:rFonts w:ascii="Arial" w:hAnsi="Arial" w:cs="Arial"/>
          <w:b/>
          <w:i w:val="0"/>
          <w:color w:val="000000" w:themeColor="text1"/>
          <w:sz w:val="22"/>
          <w:szCs w:val="22"/>
        </w:rPr>
        <w:t>Servicios de la Deuda/Ingresos Corrientes – 2018 – Por provincia y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372"/>
      </w:tblGrid>
      <w:tr w:rsidR="00E408C1" w:rsidTr="00E408C1">
        <w:tc>
          <w:tcPr>
            <w:tcW w:w="4695" w:type="dxa"/>
          </w:tcPr>
          <w:p w:rsidR="00E408C1" w:rsidRDefault="00E408C1" w:rsidP="00AB26DB">
            <w:pPr>
              <w:spacing w:line="360" w:lineRule="auto"/>
              <w:jc w:val="both"/>
              <w:rPr>
                <w:rFonts w:ascii="Arial" w:hAnsi="Arial" w:cs="Arial"/>
                <w:i/>
              </w:rPr>
            </w:pPr>
            <w:r w:rsidRPr="00E408C1">
              <w:rPr>
                <w:rFonts w:ascii="Arial" w:hAnsi="Arial" w:cs="Arial"/>
                <w:i/>
                <w:noProof/>
              </w:rPr>
              <w:drawing>
                <wp:inline distT="0" distB="0" distL="0" distR="0">
                  <wp:extent cx="3234301" cy="4038600"/>
                  <wp:effectExtent l="19050" t="0" r="4199"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43936" cy="4050631"/>
                          </a:xfrm>
                          <a:prstGeom prst="rect">
                            <a:avLst/>
                          </a:prstGeom>
                          <a:noFill/>
                          <a:ln>
                            <a:noFill/>
                          </a:ln>
                        </pic:spPr>
                      </pic:pic>
                    </a:graphicData>
                  </a:graphic>
                </wp:inline>
              </w:drawing>
            </w:r>
          </w:p>
        </w:tc>
        <w:tc>
          <w:tcPr>
            <w:tcW w:w="4591" w:type="dxa"/>
          </w:tcPr>
          <w:p w:rsidR="00E408C1" w:rsidRDefault="00E408C1" w:rsidP="00AB26DB">
            <w:pPr>
              <w:spacing w:line="360" w:lineRule="auto"/>
              <w:jc w:val="both"/>
              <w:rPr>
                <w:rFonts w:ascii="Arial" w:hAnsi="Arial" w:cs="Arial"/>
                <w:i/>
                <w:noProof/>
                <w:lang w:val="es-ES" w:eastAsia="es-ES"/>
              </w:rPr>
            </w:pPr>
          </w:p>
          <w:p w:rsidR="00097464" w:rsidRDefault="00097464" w:rsidP="00AB26DB">
            <w:pPr>
              <w:spacing w:line="360" w:lineRule="auto"/>
              <w:jc w:val="both"/>
              <w:rPr>
                <w:rFonts w:ascii="Arial" w:hAnsi="Arial" w:cs="Arial"/>
                <w:i/>
              </w:rPr>
            </w:pPr>
            <w:r w:rsidRPr="00097464">
              <w:rPr>
                <w:rFonts w:ascii="Arial" w:hAnsi="Arial" w:cs="Arial"/>
                <w:i/>
                <w:noProof/>
              </w:rPr>
              <w:drawing>
                <wp:inline distT="0" distB="0" distL="0" distR="0">
                  <wp:extent cx="2863463" cy="1962150"/>
                  <wp:effectExtent l="19050" t="0" r="0" b="0"/>
                  <wp:docPr id="5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a:stretch>
                            <a:fillRect/>
                          </a:stretch>
                        </pic:blipFill>
                        <pic:spPr bwMode="auto">
                          <a:xfrm>
                            <a:off x="0" y="0"/>
                            <a:ext cx="2863463" cy="1962150"/>
                          </a:xfrm>
                          <a:prstGeom prst="rect">
                            <a:avLst/>
                          </a:prstGeom>
                          <a:noFill/>
                          <a:ln w="9525">
                            <a:noFill/>
                            <a:miter lim="800000"/>
                            <a:headEnd/>
                            <a:tailEnd/>
                          </a:ln>
                        </pic:spPr>
                      </pic:pic>
                    </a:graphicData>
                  </a:graphic>
                </wp:inline>
              </w:drawing>
            </w:r>
          </w:p>
        </w:tc>
      </w:tr>
    </w:tbl>
    <w:p w:rsidR="00E408C1" w:rsidRPr="00AB26DB" w:rsidRDefault="00E408C1" w:rsidP="00AB26DB">
      <w:pPr>
        <w:spacing w:after="0" w:line="360" w:lineRule="auto"/>
        <w:jc w:val="both"/>
        <w:rPr>
          <w:rFonts w:ascii="Arial" w:hAnsi="Arial" w:cs="Arial"/>
          <w:i/>
        </w:rPr>
      </w:pPr>
    </w:p>
    <w:p w:rsidR="00F31EB6" w:rsidRDefault="0044242D" w:rsidP="00AB26DB">
      <w:pPr>
        <w:spacing w:after="0" w:line="360" w:lineRule="auto"/>
        <w:jc w:val="both"/>
        <w:rPr>
          <w:rFonts w:ascii="Arial" w:hAnsi="Arial" w:cs="Arial"/>
        </w:rPr>
      </w:pPr>
      <w:r w:rsidRPr="00AB26DB">
        <w:rPr>
          <w:rFonts w:ascii="Arial" w:hAnsi="Arial" w:cs="Arial"/>
        </w:rPr>
        <w:t>Claro está que mientras menor (mayor) sea el valor asumido en e</w:t>
      </w:r>
      <w:r w:rsidR="00C13BB4" w:rsidRPr="00AB26DB">
        <w:rPr>
          <w:rFonts w:ascii="Arial" w:hAnsi="Arial" w:cs="Arial"/>
        </w:rPr>
        <w:t>ste</w:t>
      </w:r>
      <w:r w:rsidRPr="00AB26DB">
        <w:rPr>
          <w:rFonts w:ascii="Arial" w:hAnsi="Arial" w:cs="Arial"/>
        </w:rPr>
        <w:t xml:space="preserve"> ratio</w:t>
      </w:r>
      <w:r w:rsidR="00C13BB4" w:rsidRPr="00AB26DB">
        <w:rPr>
          <w:rFonts w:ascii="Arial" w:hAnsi="Arial" w:cs="Arial"/>
        </w:rPr>
        <w:t>,</w:t>
      </w:r>
      <w:r w:rsidR="00697B06">
        <w:rPr>
          <w:rFonts w:ascii="Arial" w:hAnsi="Arial" w:cs="Arial"/>
        </w:rPr>
        <w:t xml:space="preserve"> </w:t>
      </w:r>
      <w:r w:rsidRPr="00AB26DB">
        <w:rPr>
          <w:rFonts w:ascii="Arial" w:hAnsi="Arial" w:cs="Arial"/>
        </w:rPr>
        <w:t>m</w:t>
      </w:r>
      <w:r w:rsidR="00C13BB4" w:rsidRPr="00AB26DB">
        <w:rPr>
          <w:rFonts w:ascii="Arial" w:hAnsi="Arial" w:cs="Arial"/>
        </w:rPr>
        <w:t xml:space="preserve">ayor será la fortaleza fiscal de una provincia. </w:t>
      </w:r>
      <w:r w:rsidRPr="00AB26DB">
        <w:rPr>
          <w:rFonts w:ascii="Arial" w:hAnsi="Arial" w:cs="Arial"/>
        </w:rPr>
        <w:t xml:space="preserve">En este caso, la provincia de Chubut </w:t>
      </w:r>
      <w:r w:rsidR="00C13BB4" w:rsidRPr="00AB26DB">
        <w:rPr>
          <w:rFonts w:ascii="Arial" w:hAnsi="Arial" w:cs="Arial"/>
        </w:rPr>
        <w:t>se encuentra con la situación más desfavorable</w:t>
      </w:r>
      <w:r w:rsidR="005B33CA">
        <w:rPr>
          <w:rFonts w:ascii="Arial" w:hAnsi="Arial" w:cs="Arial"/>
        </w:rPr>
        <w:t xml:space="preserve"> </w:t>
      </w:r>
      <w:r w:rsidRPr="00AB26DB">
        <w:rPr>
          <w:rFonts w:ascii="Arial" w:hAnsi="Arial" w:cs="Arial"/>
        </w:rPr>
        <w:t>(21,3%)</w:t>
      </w:r>
      <w:r w:rsidR="00C13BB4" w:rsidRPr="00AB26DB">
        <w:rPr>
          <w:rFonts w:ascii="Arial" w:hAnsi="Arial" w:cs="Arial"/>
        </w:rPr>
        <w:t xml:space="preserve">, mientras </w:t>
      </w:r>
      <w:r w:rsidRPr="00AB26DB">
        <w:rPr>
          <w:rFonts w:ascii="Arial" w:hAnsi="Arial" w:cs="Arial"/>
        </w:rPr>
        <w:t xml:space="preserve">San Luis </w:t>
      </w:r>
      <w:r w:rsidR="00C13BB4" w:rsidRPr="00AB26DB">
        <w:rPr>
          <w:rFonts w:ascii="Arial" w:hAnsi="Arial" w:cs="Arial"/>
        </w:rPr>
        <w:t>en la mejor posición</w:t>
      </w:r>
      <w:r w:rsidRPr="00AB26DB">
        <w:rPr>
          <w:rFonts w:ascii="Arial" w:hAnsi="Arial" w:cs="Arial"/>
        </w:rPr>
        <w:t>.</w:t>
      </w:r>
      <w:r w:rsidR="009F65A6">
        <w:rPr>
          <w:rFonts w:ascii="Arial" w:hAnsi="Arial" w:cs="Arial"/>
        </w:rPr>
        <w:t xml:space="preserve"> </w:t>
      </w:r>
      <w:r w:rsidR="00C13BB4" w:rsidRPr="00AB26DB">
        <w:rPr>
          <w:rFonts w:ascii="Arial" w:hAnsi="Arial" w:cs="Arial"/>
        </w:rPr>
        <w:t xml:space="preserve">Regionalmente, Patagonia se ubica con el mayor peso de servicios de la deuda en </w:t>
      </w:r>
      <w:r w:rsidR="00A13B3B" w:rsidRPr="00AB26DB">
        <w:rPr>
          <w:rFonts w:ascii="Arial" w:hAnsi="Arial" w:cs="Arial"/>
        </w:rPr>
        <w:t>2018 (</w:t>
      </w:r>
      <w:r w:rsidR="00C13BB4" w:rsidRPr="00AB26DB">
        <w:rPr>
          <w:rFonts w:ascii="Arial" w:hAnsi="Arial" w:cs="Arial"/>
        </w:rPr>
        <w:t>10,4%), y en el otro extremo se ubica el Noreste (3,3%)</w:t>
      </w:r>
      <w:r w:rsidRPr="00AB26DB">
        <w:rPr>
          <w:rFonts w:ascii="Arial" w:hAnsi="Arial" w:cs="Arial"/>
        </w:rPr>
        <w:t xml:space="preserve">. </w:t>
      </w:r>
    </w:p>
    <w:p w:rsidR="005F5627" w:rsidRPr="00AB26DB" w:rsidRDefault="005F5627" w:rsidP="00AB26DB">
      <w:pPr>
        <w:spacing w:after="0" w:line="360" w:lineRule="auto"/>
        <w:jc w:val="both"/>
        <w:rPr>
          <w:rFonts w:ascii="Arial" w:hAnsi="Arial" w:cs="Arial"/>
        </w:rPr>
      </w:pPr>
    </w:p>
    <w:p w:rsidR="00F4191E" w:rsidRDefault="00F4191E" w:rsidP="00AB26DB">
      <w:pPr>
        <w:spacing w:after="0" w:line="360" w:lineRule="auto"/>
        <w:jc w:val="both"/>
        <w:rPr>
          <w:rFonts w:ascii="Arial" w:hAnsi="Arial" w:cs="Arial"/>
          <w:b/>
        </w:rPr>
      </w:pPr>
      <w:r w:rsidRPr="00AB26DB">
        <w:rPr>
          <w:rFonts w:ascii="Arial" w:hAnsi="Arial" w:cs="Arial"/>
          <w:b/>
        </w:rPr>
        <w:t>Servicios de deuda en moneda extranjera (porcentaje del total)</w:t>
      </w:r>
    </w:p>
    <w:p w:rsidR="0084386F" w:rsidRPr="00AB26DB" w:rsidRDefault="0084386F" w:rsidP="00AB26DB">
      <w:pPr>
        <w:spacing w:after="0" w:line="360" w:lineRule="auto"/>
        <w:jc w:val="both"/>
        <w:rPr>
          <w:rFonts w:ascii="Arial" w:hAnsi="Arial" w:cs="Arial"/>
        </w:rPr>
      </w:pPr>
    </w:p>
    <w:p w:rsidR="00700B7C" w:rsidRDefault="00B93670" w:rsidP="00AB26DB">
      <w:pPr>
        <w:spacing w:after="0" w:line="360" w:lineRule="auto"/>
        <w:jc w:val="both"/>
        <w:rPr>
          <w:rFonts w:ascii="Arial" w:hAnsi="Arial" w:cs="Arial"/>
        </w:rPr>
      </w:pPr>
      <w:r w:rsidRPr="00AB26DB">
        <w:rPr>
          <w:rFonts w:ascii="Arial" w:hAnsi="Arial" w:cs="Arial"/>
        </w:rPr>
        <w:t>Un</w:t>
      </w:r>
      <w:r w:rsidR="0044242D" w:rsidRPr="00AB26DB">
        <w:rPr>
          <w:rFonts w:ascii="Arial" w:hAnsi="Arial" w:cs="Arial"/>
        </w:rPr>
        <w:t xml:space="preserve"> segundo indicador </w:t>
      </w:r>
      <w:r w:rsidRPr="00AB26DB">
        <w:rPr>
          <w:rFonts w:ascii="Arial" w:hAnsi="Arial" w:cs="Arial"/>
        </w:rPr>
        <w:t>construido a partir de la información brindada por el Ministerio del Interior es el siguiente:</w:t>
      </w:r>
      <w:r w:rsidR="005B33CA">
        <w:rPr>
          <w:rFonts w:ascii="Arial" w:hAnsi="Arial" w:cs="Arial"/>
        </w:rPr>
        <w:t xml:space="preserve"> </w:t>
      </w:r>
      <w:r w:rsidR="0044242D" w:rsidRPr="00AB26DB">
        <w:rPr>
          <w:rFonts w:ascii="Arial" w:hAnsi="Arial" w:cs="Arial"/>
          <w:i/>
        </w:rPr>
        <w:t>proporción de servicios de la deuda expresada en moneda extranjera (dólares)</w:t>
      </w:r>
      <w:r w:rsidR="00700B7C" w:rsidRPr="00AB26DB">
        <w:rPr>
          <w:rFonts w:ascii="Arial" w:hAnsi="Arial" w:cs="Arial"/>
        </w:rPr>
        <w:t>.</w:t>
      </w:r>
    </w:p>
    <w:p w:rsidR="00E64037" w:rsidRPr="0084386F" w:rsidRDefault="00E64037" w:rsidP="0084386F">
      <w:pPr>
        <w:pStyle w:val="Epgrafe"/>
        <w:keepNext/>
        <w:jc w:val="center"/>
        <w:rPr>
          <w:rFonts w:ascii="Arial" w:hAnsi="Arial" w:cs="Arial"/>
          <w:b/>
          <w:i w:val="0"/>
          <w:color w:val="000000" w:themeColor="text1"/>
          <w:sz w:val="22"/>
          <w:szCs w:val="22"/>
        </w:rPr>
      </w:pPr>
      <w:r w:rsidRPr="0084386F">
        <w:rPr>
          <w:rFonts w:ascii="Arial" w:hAnsi="Arial" w:cs="Arial"/>
          <w:b/>
          <w:i w:val="0"/>
          <w:color w:val="000000" w:themeColor="text1"/>
          <w:sz w:val="22"/>
          <w:szCs w:val="22"/>
        </w:rPr>
        <w:t xml:space="preserve">Porcentaje de Servicios de la Deuda en </w:t>
      </w:r>
      <w:r w:rsidR="0084386F" w:rsidRPr="0084386F">
        <w:rPr>
          <w:rFonts w:ascii="Arial" w:hAnsi="Arial" w:cs="Arial"/>
          <w:b/>
          <w:i w:val="0"/>
          <w:color w:val="000000" w:themeColor="text1"/>
          <w:sz w:val="22"/>
          <w:szCs w:val="22"/>
        </w:rPr>
        <w:t>Dólares – 2018 – Por provincia y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499"/>
      </w:tblGrid>
      <w:tr w:rsidR="00E64037" w:rsidTr="0084386F">
        <w:tc>
          <w:tcPr>
            <w:tcW w:w="4643" w:type="dxa"/>
          </w:tcPr>
          <w:p w:rsidR="00E64037" w:rsidRDefault="00097464" w:rsidP="00AB26DB">
            <w:pPr>
              <w:spacing w:line="360" w:lineRule="auto"/>
              <w:jc w:val="both"/>
              <w:rPr>
                <w:rFonts w:ascii="Arial" w:hAnsi="Arial" w:cs="Arial"/>
              </w:rPr>
            </w:pPr>
            <w:r>
              <w:rPr>
                <w:rFonts w:ascii="Arial" w:hAnsi="Arial" w:cs="Arial"/>
                <w:noProof/>
              </w:rPr>
              <w:drawing>
                <wp:inline distT="0" distB="0" distL="0" distR="0">
                  <wp:extent cx="3007007" cy="4143375"/>
                  <wp:effectExtent l="19050" t="0" r="2893" b="0"/>
                  <wp:docPr id="5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srcRect/>
                          <a:stretch>
                            <a:fillRect/>
                          </a:stretch>
                        </pic:blipFill>
                        <pic:spPr bwMode="auto">
                          <a:xfrm>
                            <a:off x="0" y="0"/>
                            <a:ext cx="3007007" cy="4143375"/>
                          </a:xfrm>
                          <a:prstGeom prst="rect">
                            <a:avLst/>
                          </a:prstGeom>
                          <a:noFill/>
                          <a:ln w="9525">
                            <a:noFill/>
                            <a:miter lim="800000"/>
                            <a:headEnd/>
                            <a:tailEnd/>
                          </a:ln>
                        </pic:spPr>
                      </pic:pic>
                    </a:graphicData>
                  </a:graphic>
                </wp:inline>
              </w:drawing>
            </w:r>
          </w:p>
        </w:tc>
        <w:tc>
          <w:tcPr>
            <w:tcW w:w="4643" w:type="dxa"/>
          </w:tcPr>
          <w:p w:rsidR="00E64037" w:rsidRDefault="00E64037" w:rsidP="00AB26DB">
            <w:pPr>
              <w:spacing w:line="360" w:lineRule="auto"/>
              <w:jc w:val="both"/>
              <w:rPr>
                <w:rFonts w:ascii="Arial" w:hAnsi="Arial" w:cs="Arial"/>
                <w:noProof/>
                <w:lang w:val="es-ES" w:eastAsia="es-ES"/>
              </w:rPr>
            </w:pPr>
          </w:p>
          <w:p w:rsidR="00097464" w:rsidRDefault="00097464" w:rsidP="00AB26DB">
            <w:pPr>
              <w:spacing w:line="360" w:lineRule="auto"/>
              <w:jc w:val="both"/>
              <w:rPr>
                <w:rFonts w:ascii="Arial" w:hAnsi="Arial" w:cs="Arial"/>
              </w:rPr>
            </w:pPr>
            <w:r w:rsidRPr="00097464">
              <w:rPr>
                <w:rFonts w:ascii="Arial" w:hAnsi="Arial" w:cs="Arial"/>
                <w:noProof/>
              </w:rPr>
              <w:drawing>
                <wp:inline distT="0" distB="0" distL="0" distR="0">
                  <wp:extent cx="2812831" cy="2091592"/>
                  <wp:effectExtent l="19050" t="0" r="6569" b="0"/>
                  <wp:docPr id="5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srcRect/>
                          <a:stretch>
                            <a:fillRect/>
                          </a:stretch>
                        </pic:blipFill>
                        <pic:spPr bwMode="auto">
                          <a:xfrm>
                            <a:off x="0" y="0"/>
                            <a:ext cx="2812831" cy="2091592"/>
                          </a:xfrm>
                          <a:prstGeom prst="rect">
                            <a:avLst/>
                          </a:prstGeom>
                          <a:noFill/>
                          <a:ln w="9525">
                            <a:noFill/>
                            <a:miter lim="800000"/>
                            <a:headEnd/>
                            <a:tailEnd/>
                          </a:ln>
                        </pic:spPr>
                      </pic:pic>
                    </a:graphicData>
                  </a:graphic>
                </wp:inline>
              </w:drawing>
            </w:r>
          </w:p>
        </w:tc>
      </w:tr>
    </w:tbl>
    <w:p w:rsidR="00E64037" w:rsidRPr="00AB26DB" w:rsidRDefault="00E64037" w:rsidP="00AB26DB">
      <w:pPr>
        <w:spacing w:after="0" w:line="360" w:lineRule="auto"/>
        <w:jc w:val="both"/>
        <w:rPr>
          <w:rFonts w:ascii="Arial" w:hAnsi="Arial" w:cs="Arial"/>
        </w:rPr>
      </w:pPr>
    </w:p>
    <w:p w:rsidR="00F31EB6" w:rsidRPr="00AB26DB" w:rsidRDefault="00C13BB4" w:rsidP="00AB26DB">
      <w:pPr>
        <w:spacing w:after="0" w:line="360" w:lineRule="auto"/>
        <w:jc w:val="both"/>
        <w:rPr>
          <w:rFonts w:ascii="Arial" w:hAnsi="Arial" w:cs="Arial"/>
        </w:rPr>
      </w:pPr>
      <w:r w:rsidRPr="00AB26DB">
        <w:rPr>
          <w:rFonts w:ascii="Arial" w:hAnsi="Arial" w:cs="Arial"/>
        </w:rPr>
        <w:t xml:space="preserve">Su inclusión responde a que un </w:t>
      </w:r>
      <w:r w:rsidR="0044242D" w:rsidRPr="00AB26DB">
        <w:rPr>
          <w:rFonts w:ascii="Arial" w:hAnsi="Arial" w:cs="Arial"/>
        </w:rPr>
        <w:t xml:space="preserve">menor (mayor) porcentaje de servicios </w:t>
      </w:r>
      <w:r w:rsidRPr="00AB26DB">
        <w:rPr>
          <w:rFonts w:ascii="Arial" w:hAnsi="Arial" w:cs="Arial"/>
        </w:rPr>
        <w:t xml:space="preserve">de deuda </w:t>
      </w:r>
      <w:r w:rsidR="0044242D" w:rsidRPr="00AB26DB">
        <w:rPr>
          <w:rFonts w:ascii="Arial" w:hAnsi="Arial" w:cs="Arial"/>
        </w:rPr>
        <w:t xml:space="preserve">en </w:t>
      </w:r>
      <w:r w:rsidRPr="00AB26DB">
        <w:rPr>
          <w:rFonts w:ascii="Arial" w:hAnsi="Arial" w:cs="Arial"/>
        </w:rPr>
        <w:t xml:space="preserve">moneda extranjera </w:t>
      </w:r>
      <w:r w:rsidR="0044242D" w:rsidRPr="00AB26DB">
        <w:rPr>
          <w:rFonts w:ascii="Arial" w:hAnsi="Arial" w:cs="Arial"/>
        </w:rPr>
        <w:t xml:space="preserve">implica una menor (mayor) exposición al tipo de cambio, </w:t>
      </w:r>
      <w:r w:rsidRPr="00AB26DB">
        <w:rPr>
          <w:rFonts w:ascii="Arial" w:hAnsi="Arial" w:cs="Arial"/>
        </w:rPr>
        <w:t>brindando menos vulnerabilidad fiscal a una provincia</w:t>
      </w:r>
      <w:r w:rsidR="0044242D" w:rsidRPr="00AB26DB">
        <w:rPr>
          <w:rFonts w:ascii="Arial" w:hAnsi="Arial" w:cs="Arial"/>
        </w:rPr>
        <w:t xml:space="preserve">. En este sentido, la provincia de La Rioja, con un 62,6% de los servicios de la deuda expresados en dólares, </w:t>
      </w:r>
      <w:r w:rsidRPr="00AB26DB">
        <w:rPr>
          <w:rFonts w:ascii="Arial" w:hAnsi="Arial" w:cs="Arial"/>
        </w:rPr>
        <w:t xml:space="preserve">aparece como la </w:t>
      </w:r>
      <w:r w:rsidR="0044242D" w:rsidRPr="00AB26DB">
        <w:rPr>
          <w:rFonts w:ascii="Arial" w:hAnsi="Arial" w:cs="Arial"/>
        </w:rPr>
        <w:t xml:space="preserve">más vulnerable a una variación del tipo de cambio, </w:t>
      </w:r>
      <w:r w:rsidRPr="00AB26DB">
        <w:rPr>
          <w:rFonts w:ascii="Arial" w:hAnsi="Arial" w:cs="Arial"/>
        </w:rPr>
        <w:t>mientras San Luis se ubica en el otro extremo</w:t>
      </w:r>
      <w:r w:rsidR="0044242D" w:rsidRPr="00AB26DB">
        <w:rPr>
          <w:rFonts w:ascii="Arial" w:hAnsi="Arial" w:cs="Arial"/>
        </w:rPr>
        <w:t xml:space="preserve">. </w:t>
      </w:r>
    </w:p>
    <w:p w:rsidR="006D292E" w:rsidRPr="00AB26DB" w:rsidRDefault="00C13BB4" w:rsidP="00AB26DB">
      <w:pPr>
        <w:spacing w:after="0" w:line="360" w:lineRule="auto"/>
        <w:jc w:val="both"/>
        <w:rPr>
          <w:rFonts w:ascii="Arial" w:hAnsi="Arial" w:cs="Arial"/>
        </w:rPr>
      </w:pPr>
      <w:r w:rsidRPr="00AB26DB">
        <w:rPr>
          <w:rFonts w:ascii="Arial" w:hAnsi="Arial" w:cs="Arial"/>
        </w:rPr>
        <w:t xml:space="preserve">La región Pampeana </w:t>
      </w:r>
      <w:r w:rsidR="00065425" w:rsidRPr="00AB26DB">
        <w:rPr>
          <w:rFonts w:ascii="Arial" w:hAnsi="Arial" w:cs="Arial"/>
        </w:rPr>
        <w:t>muestra para 2018 el mayor porcentaje de servicios de deuda expresados en moneda extranjera, mientras que Noreste sería la menos expuesta en este sentido.</w:t>
      </w:r>
    </w:p>
    <w:p w:rsidR="00285844" w:rsidRPr="00AB26DB" w:rsidRDefault="00285844" w:rsidP="00AB26DB">
      <w:pPr>
        <w:spacing w:after="0" w:line="360" w:lineRule="auto"/>
        <w:jc w:val="both"/>
        <w:rPr>
          <w:rFonts w:ascii="Arial" w:hAnsi="Arial" w:cs="Arial"/>
        </w:rPr>
      </w:pPr>
    </w:p>
    <w:p w:rsidR="00971168" w:rsidRDefault="00971168" w:rsidP="00AB26DB">
      <w:pPr>
        <w:spacing w:after="0" w:line="360" w:lineRule="auto"/>
        <w:jc w:val="both"/>
        <w:rPr>
          <w:rFonts w:ascii="Arial" w:hAnsi="Arial" w:cs="Arial"/>
          <w:b/>
        </w:rPr>
      </w:pPr>
      <w:r w:rsidRPr="00AB26DB">
        <w:rPr>
          <w:rFonts w:ascii="Arial" w:hAnsi="Arial" w:cs="Arial"/>
          <w:b/>
          <w:u w:val="single"/>
        </w:rPr>
        <w:t>Indicadores relacionados con la transparencia fiscal</w:t>
      </w:r>
      <w:r w:rsidRPr="00AB26DB">
        <w:rPr>
          <w:rFonts w:ascii="Arial" w:hAnsi="Arial" w:cs="Arial"/>
          <w:b/>
        </w:rPr>
        <w:t>:</w:t>
      </w:r>
    </w:p>
    <w:p w:rsidR="0084386F" w:rsidRPr="00AB26DB" w:rsidRDefault="0084386F" w:rsidP="00AB26DB">
      <w:pPr>
        <w:spacing w:after="0" w:line="360" w:lineRule="auto"/>
        <w:jc w:val="both"/>
        <w:rPr>
          <w:rFonts w:ascii="Arial" w:hAnsi="Arial" w:cs="Arial"/>
          <w:b/>
        </w:rPr>
      </w:pPr>
    </w:p>
    <w:p w:rsidR="00F4191E" w:rsidRDefault="00F4191E" w:rsidP="00AB26DB">
      <w:pPr>
        <w:spacing w:after="0" w:line="360" w:lineRule="auto"/>
        <w:jc w:val="both"/>
        <w:rPr>
          <w:rFonts w:ascii="Arial" w:hAnsi="Arial" w:cs="Arial"/>
          <w:b/>
        </w:rPr>
      </w:pPr>
      <w:r w:rsidRPr="00AB26DB">
        <w:rPr>
          <w:rFonts w:ascii="Arial" w:hAnsi="Arial" w:cs="Arial"/>
          <w:b/>
        </w:rPr>
        <w:t>Índice d</w:t>
      </w:r>
      <w:r w:rsidR="003563E0" w:rsidRPr="00AB26DB">
        <w:rPr>
          <w:rFonts w:ascii="Arial" w:hAnsi="Arial" w:cs="Arial"/>
          <w:b/>
        </w:rPr>
        <w:t xml:space="preserve">e Transparencia Presupuestaria </w:t>
      </w:r>
    </w:p>
    <w:p w:rsidR="0084386F" w:rsidRPr="00AB26DB" w:rsidRDefault="0084386F" w:rsidP="00AB26DB">
      <w:pPr>
        <w:spacing w:after="0" w:line="360" w:lineRule="auto"/>
        <w:jc w:val="both"/>
        <w:rPr>
          <w:rFonts w:ascii="Arial" w:hAnsi="Arial" w:cs="Arial"/>
          <w:b/>
        </w:rPr>
      </w:pPr>
    </w:p>
    <w:p w:rsidR="0044242D" w:rsidRPr="00AB26DB" w:rsidRDefault="00A4262D" w:rsidP="00AB26DB">
      <w:pPr>
        <w:spacing w:after="0" w:line="360" w:lineRule="auto"/>
        <w:jc w:val="both"/>
        <w:rPr>
          <w:rFonts w:ascii="Arial" w:hAnsi="Arial" w:cs="Arial"/>
        </w:rPr>
      </w:pPr>
      <w:r w:rsidRPr="00AB26DB">
        <w:rPr>
          <w:rFonts w:ascii="Arial" w:hAnsi="Arial" w:cs="Arial"/>
        </w:rPr>
        <w:t>E</w:t>
      </w:r>
      <w:r w:rsidR="00700B7C" w:rsidRPr="00AB26DB">
        <w:rPr>
          <w:rFonts w:ascii="Arial" w:hAnsi="Arial" w:cs="Arial"/>
        </w:rPr>
        <w:t xml:space="preserve">l último indicador utilizado para la construcción del </w:t>
      </w:r>
      <w:r w:rsidRPr="00AB26DB">
        <w:rPr>
          <w:rFonts w:ascii="Arial" w:hAnsi="Arial" w:cs="Arial"/>
        </w:rPr>
        <w:t xml:space="preserve">IFF </w:t>
      </w:r>
      <w:r w:rsidR="00700B7C" w:rsidRPr="00AB26DB">
        <w:rPr>
          <w:rFonts w:ascii="Arial" w:hAnsi="Arial" w:cs="Arial"/>
        </w:rPr>
        <w:t>es</w:t>
      </w:r>
      <w:r w:rsidRPr="00AB26DB">
        <w:rPr>
          <w:rFonts w:ascii="Arial" w:hAnsi="Arial" w:cs="Arial"/>
        </w:rPr>
        <w:t>tá</w:t>
      </w:r>
      <w:r w:rsidR="00700B7C" w:rsidRPr="00AB26DB">
        <w:rPr>
          <w:rFonts w:ascii="Arial" w:hAnsi="Arial" w:cs="Arial"/>
        </w:rPr>
        <w:t xml:space="preserve"> relacionado con la transparencia fiscal en las provincias argentinas.</w:t>
      </w:r>
      <w:r w:rsidRPr="00AB26DB">
        <w:rPr>
          <w:rFonts w:ascii="Arial" w:hAnsi="Arial" w:cs="Arial"/>
        </w:rPr>
        <w:t xml:space="preserve"> Se considera que mayor transparencia supone mayor fortaleza fiscal, por cuanto existirían menores </w:t>
      </w:r>
      <w:r w:rsidR="000E5454" w:rsidRPr="00AB26DB">
        <w:rPr>
          <w:rFonts w:ascii="Arial" w:hAnsi="Arial" w:cs="Arial"/>
        </w:rPr>
        <w:t xml:space="preserve">dudas </w:t>
      </w:r>
      <w:r w:rsidRPr="00AB26DB">
        <w:rPr>
          <w:rFonts w:ascii="Arial" w:hAnsi="Arial" w:cs="Arial"/>
        </w:rPr>
        <w:t xml:space="preserve">sobre </w:t>
      </w:r>
      <w:r w:rsidR="000E5454" w:rsidRPr="00AB26DB">
        <w:rPr>
          <w:rFonts w:ascii="Arial" w:hAnsi="Arial" w:cs="Arial"/>
        </w:rPr>
        <w:t xml:space="preserve">la veracidad de la información fiscal publicada </w:t>
      </w:r>
      <w:r w:rsidRPr="00AB26DB">
        <w:rPr>
          <w:rFonts w:ascii="Arial" w:hAnsi="Arial" w:cs="Arial"/>
        </w:rPr>
        <w:t>por los gobiernos provinciales.</w:t>
      </w:r>
    </w:p>
    <w:p w:rsidR="00700B7C" w:rsidRPr="00AB26DB" w:rsidRDefault="00700B7C" w:rsidP="00AB26DB">
      <w:pPr>
        <w:spacing w:after="0" w:line="360" w:lineRule="auto"/>
        <w:jc w:val="both"/>
        <w:rPr>
          <w:rFonts w:ascii="Arial" w:hAnsi="Arial" w:cs="Arial"/>
        </w:rPr>
      </w:pPr>
      <w:r w:rsidRPr="00AB26DB">
        <w:rPr>
          <w:rFonts w:ascii="Arial" w:hAnsi="Arial" w:cs="Arial"/>
        </w:rPr>
        <w:t xml:space="preserve">Se tomó la última publicación del índice de transparencia fiscal realizado por el CIPPEC (año 2017), </w:t>
      </w:r>
      <w:r w:rsidR="00A4262D" w:rsidRPr="00AB26DB">
        <w:rPr>
          <w:rFonts w:ascii="Arial" w:hAnsi="Arial" w:cs="Arial"/>
        </w:rPr>
        <w:t xml:space="preserve">en que se observa que </w:t>
      </w:r>
      <w:r w:rsidRPr="00AB26DB">
        <w:rPr>
          <w:rFonts w:ascii="Arial" w:hAnsi="Arial" w:cs="Arial"/>
        </w:rPr>
        <w:t xml:space="preserve">Córdoba es la provincia con mayor transparencia fiscal en términos relativos, mientras que la provincia de San Luis obtuvo el peor puntaje en este rubro. </w:t>
      </w:r>
    </w:p>
    <w:p w:rsidR="00A4262D" w:rsidRPr="00AB26DB" w:rsidRDefault="00A4262D" w:rsidP="00AB26DB">
      <w:pPr>
        <w:spacing w:after="0" w:line="360" w:lineRule="auto"/>
        <w:jc w:val="both"/>
        <w:rPr>
          <w:rFonts w:ascii="Arial" w:hAnsi="Arial" w:cs="Arial"/>
        </w:rPr>
      </w:pPr>
      <w:r w:rsidRPr="00AB26DB">
        <w:rPr>
          <w:rFonts w:ascii="Arial" w:hAnsi="Arial" w:cs="Arial"/>
        </w:rPr>
        <w:t xml:space="preserve">Por regiones, la Pampeana sería la </w:t>
      </w:r>
      <w:r w:rsidR="00FB2879" w:rsidRPr="00AB26DB">
        <w:rPr>
          <w:rFonts w:ascii="Arial" w:hAnsi="Arial" w:cs="Arial"/>
        </w:rPr>
        <w:t xml:space="preserve">fiscalmente </w:t>
      </w:r>
      <w:r w:rsidRPr="00AB26DB">
        <w:rPr>
          <w:rFonts w:ascii="Arial" w:hAnsi="Arial" w:cs="Arial"/>
        </w:rPr>
        <w:t>más transparente, y Cuyo la peor ubicada.</w:t>
      </w:r>
    </w:p>
    <w:p w:rsidR="00285844" w:rsidRPr="00AB26DB" w:rsidRDefault="00285844" w:rsidP="00AB26DB">
      <w:pPr>
        <w:spacing w:after="0" w:line="360" w:lineRule="auto"/>
        <w:rPr>
          <w:rFonts w:ascii="Arial" w:hAnsi="Arial" w:cs="Arial"/>
          <w:b/>
        </w:rPr>
      </w:pPr>
    </w:p>
    <w:p w:rsidR="0084386F" w:rsidRPr="0084386F" w:rsidRDefault="0084386F" w:rsidP="0084386F">
      <w:pPr>
        <w:pStyle w:val="Epgrafe"/>
        <w:keepNext/>
        <w:jc w:val="center"/>
        <w:rPr>
          <w:rFonts w:ascii="Arial" w:hAnsi="Arial" w:cs="Arial"/>
          <w:b/>
          <w:i w:val="0"/>
          <w:color w:val="000000" w:themeColor="text1"/>
          <w:sz w:val="22"/>
          <w:szCs w:val="22"/>
        </w:rPr>
      </w:pPr>
      <w:r w:rsidRPr="0084386F">
        <w:rPr>
          <w:rFonts w:ascii="Arial" w:hAnsi="Arial" w:cs="Arial"/>
          <w:b/>
          <w:i w:val="0"/>
          <w:color w:val="000000" w:themeColor="text1"/>
          <w:sz w:val="22"/>
          <w:szCs w:val="22"/>
        </w:rPr>
        <w:t>Índice de Transparencia Fiscal – 2017 – Por provincia y por región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6"/>
      </w:tblGrid>
      <w:tr w:rsidR="0084386F" w:rsidTr="0084386F">
        <w:tc>
          <w:tcPr>
            <w:tcW w:w="4475" w:type="dxa"/>
          </w:tcPr>
          <w:p w:rsidR="0084386F" w:rsidRDefault="00097464" w:rsidP="00AB26DB">
            <w:pPr>
              <w:spacing w:line="360" w:lineRule="auto"/>
              <w:rPr>
                <w:rFonts w:ascii="Arial" w:hAnsi="Arial" w:cs="Arial"/>
                <w:b/>
              </w:rPr>
            </w:pPr>
            <w:r>
              <w:rPr>
                <w:rFonts w:ascii="Arial" w:hAnsi="Arial" w:cs="Arial"/>
                <w:b/>
                <w:noProof/>
              </w:rPr>
              <w:drawing>
                <wp:inline distT="0" distB="0" distL="0" distR="0">
                  <wp:extent cx="2930967" cy="4038600"/>
                  <wp:effectExtent l="19050" t="0" r="2733" b="0"/>
                  <wp:docPr id="6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srcRect/>
                          <a:stretch>
                            <a:fillRect/>
                          </a:stretch>
                        </pic:blipFill>
                        <pic:spPr bwMode="auto">
                          <a:xfrm>
                            <a:off x="0" y="0"/>
                            <a:ext cx="2930967" cy="4038600"/>
                          </a:xfrm>
                          <a:prstGeom prst="rect">
                            <a:avLst/>
                          </a:prstGeom>
                          <a:noFill/>
                          <a:ln w="9525">
                            <a:noFill/>
                            <a:miter lim="800000"/>
                            <a:headEnd/>
                            <a:tailEnd/>
                          </a:ln>
                        </pic:spPr>
                      </pic:pic>
                    </a:graphicData>
                  </a:graphic>
                </wp:inline>
              </w:drawing>
            </w:r>
          </w:p>
        </w:tc>
        <w:tc>
          <w:tcPr>
            <w:tcW w:w="4811" w:type="dxa"/>
          </w:tcPr>
          <w:p w:rsidR="0084386F" w:rsidRDefault="0084386F" w:rsidP="00AB26DB">
            <w:pPr>
              <w:spacing w:line="360" w:lineRule="auto"/>
              <w:rPr>
                <w:rFonts w:ascii="Arial" w:hAnsi="Arial" w:cs="Arial"/>
                <w:b/>
                <w:noProof/>
                <w:lang w:val="es-ES" w:eastAsia="es-ES"/>
              </w:rPr>
            </w:pPr>
          </w:p>
          <w:p w:rsidR="00097464" w:rsidRDefault="00097464" w:rsidP="00AB26DB">
            <w:pPr>
              <w:spacing w:line="360" w:lineRule="auto"/>
              <w:rPr>
                <w:rFonts w:ascii="Arial" w:hAnsi="Arial" w:cs="Arial"/>
                <w:b/>
              </w:rPr>
            </w:pPr>
            <w:r w:rsidRPr="00097464">
              <w:rPr>
                <w:rFonts w:ascii="Arial" w:hAnsi="Arial" w:cs="Arial"/>
                <w:b/>
                <w:noProof/>
              </w:rPr>
              <w:drawing>
                <wp:inline distT="0" distB="0" distL="0" distR="0">
                  <wp:extent cx="2937557" cy="1971675"/>
                  <wp:effectExtent l="19050" t="0" r="0" b="0"/>
                  <wp:docPr id="6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srcRect/>
                          <a:stretch>
                            <a:fillRect/>
                          </a:stretch>
                        </pic:blipFill>
                        <pic:spPr bwMode="auto">
                          <a:xfrm>
                            <a:off x="0" y="0"/>
                            <a:ext cx="2937557" cy="1971675"/>
                          </a:xfrm>
                          <a:prstGeom prst="rect">
                            <a:avLst/>
                          </a:prstGeom>
                          <a:noFill/>
                          <a:ln w="9525">
                            <a:noFill/>
                            <a:miter lim="800000"/>
                            <a:headEnd/>
                            <a:tailEnd/>
                          </a:ln>
                        </pic:spPr>
                      </pic:pic>
                    </a:graphicData>
                  </a:graphic>
                </wp:inline>
              </w:drawing>
            </w:r>
          </w:p>
        </w:tc>
      </w:tr>
    </w:tbl>
    <w:p w:rsidR="00285844" w:rsidRDefault="00285844" w:rsidP="00F4191E">
      <w:pPr>
        <w:rPr>
          <w:rFonts w:ascii="Times New Roman" w:hAnsi="Times New Roman" w:cs="Times New Roman"/>
          <w:b/>
        </w:rPr>
      </w:pPr>
    </w:p>
    <w:p w:rsidR="0044242D" w:rsidRPr="00AB26DB" w:rsidRDefault="00B74DE1" w:rsidP="00F4191E">
      <w:pPr>
        <w:rPr>
          <w:rFonts w:ascii="Arial" w:hAnsi="Arial" w:cs="Arial"/>
          <w:b/>
        </w:rPr>
      </w:pPr>
      <w:r w:rsidRPr="00AB26DB">
        <w:rPr>
          <w:rFonts w:ascii="Arial" w:hAnsi="Arial" w:cs="Arial"/>
          <w:b/>
        </w:rPr>
        <w:t xml:space="preserve">Cálculo del </w:t>
      </w:r>
      <w:r w:rsidR="0044242D" w:rsidRPr="00AB26DB">
        <w:rPr>
          <w:rFonts w:ascii="Arial" w:hAnsi="Arial" w:cs="Arial"/>
          <w:b/>
        </w:rPr>
        <w:t>Índice de Fortaleza Fiscal</w:t>
      </w:r>
    </w:p>
    <w:p w:rsidR="0044242D" w:rsidRDefault="0044242D" w:rsidP="00AB26DB">
      <w:pPr>
        <w:spacing w:after="0" w:line="360" w:lineRule="auto"/>
        <w:jc w:val="both"/>
        <w:rPr>
          <w:rFonts w:ascii="Arial" w:hAnsi="Arial" w:cs="Arial"/>
          <w:color w:val="000000" w:themeColor="text1"/>
        </w:rPr>
      </w:pPr>
      <w:r w:rsidRPr="00AB26DB">
        <w:rPr>
          <w:rFonts w:ascii="Arial" w:hAnsi="Arial" w:cs="Arial"/>
        </w:rPr>
        <w:t>La construcción del índice de fortalez</w:t>
      </w:r>
      <w:r w:rsidR="00970500" w:rsidRPr="00AB26DB">
        <w:rPr>
          <w:rFonts w:ascii="Arial" w:hAnsi="Arial" w:cs="Arial"/>
        </w:rPr>
        <w:t xml:space="preserve">a fiscal se </w:t>
      </w:r>
      <w:r w:rsidR="00F74E22" w:rsidRPr="00AB26DB">
        <w:rPr>
          <w:rFonts w:ascii="Arial" w:hAnsi="Arial" w:cs="Arial"/>
        </w:rPr>
        <w:t xml:space="preserve">realizó </w:t>
      </w:r>
      <w:r w:rsidR="000E5454" w:rsidRPr="00AB26DB">
        <w:rPr>
          <w:rFonts w:ascii="Arial" w:hAnsi="Arial" w:cs="Arial"/>
        </w:rPr>
        <w:t xml:space="preserve">a partir de un promedio de </w:t>
      </w:r>
      <w:r w:rsidR="00970500" w:rsidRPr="00AB26DB">
        <w:rPr>
          <w:rFonts w:ascii="Arial" w:hAnsi="Arial" w:cs="Arial"/>
        </w:rPr>
        <w:t>los diez</w:t>
      </w:r>
      <w:r w:rsidRPr="00AB26DB">
        <w:rPr>
          <w:rFonts w:ascii="Arial" w:hAnsi="Arial" w:cs="Arial"/>
        </w:rPr>
        <w:t xml:space="preserve"> indicadores explicados en </w:t>
      </w:r>
      <w:r w:rsidR="000E5454" w:rsidRPr="00AB26DB">
        <w:rPr>
          <w:rFonts w:ascii="Arial" w:hAnsi="Arial" w:cs="Arial"/>
        </w:rPr>
        <w:t>e</w:t>
      </w:r>
      <w:r w:rsidRPr="00AB26DB">
        <w:rPr>
          <w:rFonts w:ascii="Arial" w:hAnsi="Arial" w:cs="Arial"/>
        </w:rPr>
        <w:t>l</w:t>
      </w:r>
      <w:r w:rsidR="000E5454" w:rsidRPr="00AB26DB">
        <w:rPr>
          <w:rFonts w:ascii="Arial" w:hAnsi="Arial" w:cs="Arial"/>
        </w:rPr>
        <w:t xml:space="preserve"> apartado </w:t>
      </w:r>
      <w:r w:rsidRPr="00AB26DB">
        <w:rPr>
          <w:rFonts w:ascii="Arial" w:hAnsi="Arial" w:cs="Arial"/>
        </w:rPr>
        <w:t>anterior.</w:t>
      </w:r>
      <w:r w:rsidR="00BB3B19">
        <w:rPr>
          <w:rFonts w:ascii="Arial" w:hAnsi="Arial" w:cs="Arial"/>
        </w:rPr>
        <w:t xml:space="preserve"> </w:t>
      </w:r>
      <w:r w:rsidRPr="00AB26DB">
        <w:rPr>
          <w:rFonts w:ascii="Arial" w:hAnsi="Arial" w:cs="Arial"/>
          <w:color w:val="000000" w:themeColor="text1"/>
        </w:rPr>
        <w:t xml:space="preserve">Se presentarán </w:t>
      </w:r>
      <w:r w:rsidR="00B74DE1" w:rsidRPr="00AB26DB">
        <w:rPr>
          <w:rFonts w:ascii="Arial" w:hAnsi="Arial" w:cs="Arial"/>
          <w:color w:val="000000" w:themeColor="text1"/>
        </w:rPr>
        <w:t>dos</w:t>
      </w:r>
      <w:r w:rsidR="00BB3B19">
        <w:rPr>
          <w:rFonts w:ascii="Arial" w:hAnsi="Arial" w:cs="Arial"/>
          <w:color w:val="000000" w:themeColor="text1"/>
        </w:rPr>
        <w:t xml:space="preserve"> </w:t>
      </w:r>
      <w:r w:rsidRPr="00AB26DB">
        <w:rPr>
          <w:rFonts w:ascii="Arial" w:hAnsi="Arial" w:cs="Arial"/>
          <w:color w:val="000000" w:themeColor="text1"/>
        </w:rPr>
        <w:t>versiones</w:t>
      </w:r>
      <w:r w:rsidR="00EA7541" w:rsidRPr="00AB26DB">
        <w:rPr>
          <w:rFonts w:ascii="Arial" w:hAnsi="Arial" w:cs="Arial"/>
          <w:color w:val="000000" w:themeColor="text1"/>
        </w:rPr>
        <w:t xml:space="preserve"> alternativas</w:t>
      </w:r>
      <w:r w:rsidRPr="00AB26DB">
        <w:rPr>
          <w:rFonts w:ascii="Arial" w:hAnsi="Arial" w:cs="Arial"/>
          <w:color w:val="000000" w:themeColor="text1"/>
        </w:rPr>
        <w:t xml:space="preserve"> del índice</w:t>
      </w:r>
      <w:r w:rsidR="00066DD6" w:rsidRPr="00AB26DB">
        <w:rPr>
          <w:rFonts w:ascii="Arial" w:hAnsi="Arial" w:cs="Arial"/>
          <w:color w:val="000000" w:themeColor="text1"/>
        </w:rPr>
        <w:t>. La primera de ellas computa el</w:t>
      </w:r>
      <w:r w:rsidR="00EA7541" w:rsidRPr="00AB26DB">
        <w:rPr>
          <w:rFonts w:ascii="Arial" w:hAnsi="Arial" w:cs="Arial"/>
          <w:color w:val="000000" w:themeColor="text1"/>
        </w:rPr>
        <w:t xml:space="preserve"> valor final en base al promedio simple de los puntajes asignados a cada indicador.</w:t>
      </w:r>
      <w:r w:rsidR="00066DD6" w:rsidRPr="00AB26DB">
        <w:rPr>
          <w:rFonts w:ascii="Arial" w:hAnsi="Arial" w:cs="Arial"/>
          <w:color w:val="000000" w:themeColor="text1"/>
        </w:rPr>
        <w:t xml:space="preserve"> En la segunda</w:t>
      </w:r>
      <w:r w:rsidR="00B74DE1" w:rsidRPr="00AB26DB">
        <w:rPr>
          <w:rFonts w:ascii="Arial" w:hAnsi="Arial" w:cs="Arial"/>
          <w:color w:val="000000" w:themeColor="text1"/>
        </w:rPr>
        <w:t>, en cambio,</w:t>
      </w:r>
      <w:r w:rsidR="007B7438" w:rsidRPr="00AB26DB">
        <w:rPr>
          <w:rFonts w:ascii="Arial" w:hAnsi="Arial" w:cs="Arial"/>
          <w:color w:val="000000" w:themeColor="text1"/>
        </w:rPr>
        <w:t xml:space="preserve"> considera </w:t>
      </w:r>
      <w:r w:rsidR="000E5454" w:rsidRPr="00AB26DB">
        <w:rPr>
          <w:rFonts w:ascii="Arial" w:hAnsi="Arial" w:cs="Arial"/>
          <w:color w:val="000000" w:themeColor="text1"/>
        </w:rPr>
        <w:t>un</w:t>
      </w:r>
      <w:r w:rsidR="007B7438" w:rsidRPr="00AB26DB">
        <w:rPr>
          <w:rFonts w:ascii="Arial" w:hAnsi="Arial" w:cs="Arial"/>
          <w:color w:val="000000" w:themeColor="text1"/>
        </w:rPr>
        <w:t xml:space="preserve"> promedio simple</w:t>
      </w:r>
      <w:r w:rsidR="000E5454" w:rsidRPr="00AB26DB">
        <w:rPr>
          <w:rFonts w:ascii="Arial" w:hAnsi="Arial" w:cs="Arial"/>
          <w:color w:val="000000" w:themeColor="text1"/>
        </w:rPr>
        <w:t>,</w:t>
      </w:r>
      <w:r w:rsidR="00BB3B19">
        <w:rPr>
          <w:rFonts w:ascii="Arial" w:hAnsi="Arial" w:cs="Arial"/>
          <w:color w:val="000000" w:themeColor="text1"/>
        </w:rPr>
        <w:t xml:space="preserve"> </w:t>
      </w:r>
      <w:r w:rsidR="007B7438" w:rsidRPr="00AB26DB">
        <w:rPr>
          <w:rFonts w:ascii="Arial" w:hAnsi="Arial" w:cs="Arial"/>
          <w:color w:val="000000" w:themeColor="text1"/>
        </w:rPr>
        <w:t>pero tomando en cuenta</w:t>
      </w:r>
      <w:r w:rsidR="00BB3B19">
        <w:rPr>
          <w:rFonts w:ascii="Arial" w:hAnsi="Arial" w:cs="Arial"/>
          <w:color w:val="000000" w:themeColor="text1"/>
        </w:rPr>
        <w:t xml:space="preserve"> </w:t>
      </w:r>
      <w:r w:rsidRPr="00AB26DB">
        <w:rPr>
          <w:rFonts w:ascii="Arial" w:hAnsi="Arial" w:cs="Arial"/>
          <w:color w:val="000000" w:themeColor="text1"/>
        </w:rPr>
        <w:t>las diferencias relativas entre los valores observados en cada provincia</w:t>
      </w:r>
      <w:r w:rsidR="000E5454" w:rsidRPr="00AB26DB">
        <w:rPr>
          <w:rFonts w:ascii="Arial" w:hAnsi="Arial" w:cs="Arial"/>
          <w:color w:val="000000" w:themeColor="text1"/>
        </w:rPr>
        <w:t>, y no sólo la ubicación en el ranking del indicador</w:t>
      </w:r>
      <w:r w:rsidRPr="00AB26DB">
        <w:rPr>
          <w:rFonts w:ascii="Arial" w:hAnsi="Arial" w:cs="Arial"/>
          <w:color w:val="000000" w:themeColor="text1"/>
        </w:rPr>
        <w:t xml:space="preserve">. </w:t>
      </w:r>
      <w:r w:rsidR="000E5454" w:rsidRPr="00AB26DB">
        <w:rPr>
          <w:rFonts w:ascii="Arial" w:hAnsi="Arial" w:cs="Arial"/>
          <w:color w:val="000000" w:themeColor="text1"/>
        </w:rPr>
        <w:t>E</w:t>
      </w:r>
      <w:r w:rsidR="00EA7541" w:rsidRPr="00AB26DB">
        <w:rPr>
          <w:rFonts w:ascii="Arial" w:hAnsi="Arial" w:cs="Arial"/>
          <w:color w:val="000000" w:themeColor="text1"/>
        </w:rPr>
        <w:t xml:space="preserve">n la </w:t>
      </w:r>
      <w:r w:rsidR="00B74DE1" w:rsidRPr="00AB26DB">
        <w:rPr>
          <w:rFonts w:ascii="Arial" w:hAnsi="Arial" w:cs="Arial"/>
          <w:color w:val="000000" w:themeColor="text1"/>
        </w:rPr>
        <w:t xml:space="preserve">siguiente </w:t>
      </w:r>
      <w:r w:rsidR="00EA7541" w:rsidRPr="00AB26DB">
        <w:rPr>
          <w:rFonts w:ascii="Arial" w:hAnsi="Arial" w:cs="Arial"/>
          <w:color w:val="000000" w:themeColor="text1"/>
        </w:rPr>
        <w:t>sección se presentarán otras opciones de ponderación</w:t>
      </w:r>
      <w:r w:rsidR="000E5454" w:rsidRPr="00AB26DB">
        <w:rPr>
          <w:rFonts w:ascii="Arial" w:hAnsi="Arial" w:cs="Arial"/>
          <w:color w:val="000000" w:themeColor="text1"/>
        </w:rPr>
        <w:t>,</w:t>
      </w:r>
      <w:r w:rsidR="00EA7541" w:rsidRPr="00AB26DB">
        <w:rPr>
          <w:rFonts w:ascii="Arial" w:hAnsi="Arial" w:cs="Arial"/>
          <w:color w:val="000000" w:themeColor="text1"/>
        </w:rPr>
        <w:t xml:space="preserve"> basadas en la utilización de</w:t>
      </w:r>
      <w:r w:rsidR="000E5454" w:rsidRPr="00AB26DB">
        <w:rPr>
          <w:rFonts w:ascii="Arial" w:hAnsi="Arial" w:cs="Arial"/>
          <w:color w:val="000000" w:themeColor="text1"/>
        </w:rPr>
        <w:t xml:space="preserve"> un</w:t>
      </w:r>
      <w:r w:rsidR="00BB3B19">
        <w:rPr>
          <w:rFonts w:ascii="Arial" w:hAnsi="Arial" w:cs="Arial"/>
          <w:color w:val="000000" w:themeColor="text1"/>
        </w:rPr>
        <w:t xml:space="preserve"> </w:t>
      </w:r>
      <w:r w:rsidR="000E5454" w:rsidRPr="00AB26DB">
        <w:rPr>
          <w:rFonts w:ascii="Arial" w:hAnsi="Arial" w:cs="Arial"/>
          <w:color w:val="000000" w:themeColor="text1"/>
        </w:rPr>
        <w:t>a</w:t>
      </w:r>
      <w:r w:rsidR="00EA7541" w:rsidRPr="00AB26DB">
        <w:rPr>
          <w:rFonts w:ascii="Arial" w:hAnsi="Arial" w:cs="Arial"/>
          <w:color w:val="000000" w:themeColor="text1"/>
        </w:rPr>
        <w:t xml:space="preserve">nálisis de Componentes </w:t>
      </w:r>
      <w:r w:rsidR="000E5454" w:rsidRPr="00AB26DB">
        <w:rPr>
          <w:rFonts w:ascii="Arial" w:hAnsi="Arial" w:cs="Arial"/>
          <w:color w:val="000000" w:themeColor="text1"/>
        </w:rPr>
        <w:t>P</w:t>
      </w:r>
      <w:r w:rsidR="00EA7541" w:rsidRPr="00AB26DB">
        <w:rPr>
          <w:rFonts w:ascii="Arial" w:hAnsi="Arial" w:cs="Arial"/>
          <w:color w:val="000000" w:themeColor="text1"/>
        </w:rPr>
        <w:t xml:space="preserve">rincipales. </w:t>
      </w:r>
    </w:p>
    <w:p w:rsidR="0084386F" w:rsidRPr="00AB26DB" w:rsidRDefault="0084386F" w:rsidP="00AB26DB">
      <w:pPr>
        <w:spacing w:after="0" w:line="360" w:lineRule="auto"/>
        <w:jc w:val="both"/>
        <w:rPr>
          <w:rFonts w:ascii="Arial" w:hAnsi="Arial" w:cs="Arial"/>
          <w:color w:val="000000" w:themeColor="text1"/>
        </w:rPr>
      </w:pPr>
    </w:p>
    <w:p w:rsidR="0044242D" w:rsidRDefault="0044242D" w:rsidP="00AB26DB">
      <w:pPr>
        <w:spacing w:after="0" w:line="360" w:lineRule="auto"/>
        <w:jc w:val="both"/>
        <w:rPr>
          <w:rFonts w:ascii="Arial" w:hAnsi="Arial" w:cs="Arial"/>
        </w:rPr>
      </w:pPr>
      <w:r w:rsidRPr="00AB26DB">
        <w:rPr>
          <w:rFonts w:ascii="Arial" w:hAnsi="Arial" w:cs="Arial"/>
          <w:b/>
          <w:i/>
        </w:rPr>
        <w:t>Promedio Simple</w:t>
      </w:r>
      <w:r w:rsidR="0076759F" w:rsidRPr="00AB26DB">
        <w:rPr>
          <w:rFonts w:ascii="Arial" w:hAnsi="Arial" w:cs="Arial"/>
          <w:b/>
          <w:i/>
        </w:rPr>
        <w:t xml:space="preserve"> (IFF1)</w:t>
      </w:r>
      <w:r w:rsidRPr="00AB26DB">
        <w:rPr>
          <w:rFonts w:ascii="Arial" w:hAnsi="Arial" w:cs="Arial"/>
        </w:rPr>
        <w:t xml:space="preserve">. Considerando los </w:t>
      </w:r>
      <w:r w:rsidR="00D21F0F" w:rsidRPr="00AB26DB">
        <w:rPr>
          <w:rFonts w:ascii="Arial" w:hAnsi="Arial" w:cs="Arial"/>
        </w:rPr>
        <w:t>diez</w:t>
      </w:r>
      <w:r w:rsidRPr="00AB26DB">
        <w:rPr>
          <w:rFonts w:ascii="Arial" w:hAnsi="Arial" w:cs="Arial"/>
        </w:rPr>
        <w:t xml:space="preserve"> indicadores expuestos previamente, se los ordena convenientemente y se enumera a las provincias del 1 al 24: 1 (uno) será el mejor resultado observado, mientras que 24 (veinticuatro) será el peor resultado.</w:t>
      </w:r>
    </w:p>
    <w:p w:rsidR="009F65A6" w:rsidRPr="00AB26DB" w:rsidRDefault="009F65A6" w:rsidP="00AB26DB">
      <w:pPr>
        <w:spacing w:after="0" w:line="360" w:lineRule="auto"/>
        <w:jc w:val="both"/>
        <w:rPr>
          <w:rFonts w:ascii="Arial" w:hAnsi="Arial" w:cs="Arial"/>
        </w:rPr>
      </w:pPr>
    </w:p>
    <w:p w:rsidR="0044242D" w:rsidRDefault="0044242D" w:rsidP="00AB26DB">
      <w:pPr>
        <w:spacing w:after="0" w:line="360" w:lineRule="auto"/>
        <w:jc w:val="both"/>
        <w:rPr>
          <w:rFonts w:ascii="Arial" w:hAnsi="Arial" w:cs="Arial"/>
        </w:rPr>
      </w:pPr>
      <w:r w:rsidRPr="00AB26DB">
        <w:rPr>
          <w:rFonts w:ascii="Arial" w:hAnsi="Arial" w:cs="Arial"/>
        </w:rPr>
        <w:t xml:space="preserve">Por ejemplo, en el indicador </w:t>
      </w:r>
      <w:r w:rsidRPr="00AB26DB">
        <w:rPr>
          <w:rFonts w:ascii="Arial" w:hAnsi="Arial" w:cs="Arial"/>
          <w:i/>
        </w:rPr>
        <w:t>gasto en personal</w:t>
      </w:r>
      <w:r w:rsidRPr="00AB26DB">
        <w:rPr>
          <w:rFonts w:ascii="Arial" w:hAnsi="Arial" w:cs="Arial"/>
        </w:rPr>
        <w:t xml:space="preserve">, la provincia de San Luis asume el valor 1 (34,1%) </w:t>
      </w:r>
      <w:r w:rsidR="00DE5BBD" w:rsidRPr="00AB26DB">
        <w:rPr>
          <w:rFonts w:ascii="Arial" w:hAnsi="Arial" w:cs="Arial"/>
        </w:rPr>
        <w:t>y Río</w:t>
      </w:r>
      <w:r w:rsidRPr="00AB26DB">
        <w:rPr>
          <w:rFonts w:ascii="Arial" w:hAnsi="Arial" w:cs="Arial"/>
        </w:rPr>
        <w:t xml:space="preserve"> Negro el valor 24 (72,4%). El valor asumido por el resto de las provincias se encontrará entre 1 y 24. Este procedimiento se repite para todos los indicadores utilizados. El último paso es calcular el promedio (por provincia) de l</w:t>
      </w:r>
      <w:r w:rsidR="000E5454" w:rsidRPr="00AB26DB">
        <w:rPr>
          <w:rFonts w:ascii="Arial" w:hAnsi="Arial" w:cs="Arial"/>
        </w:rPr>
        <w:t>as ubicaciones en el ranking de cada indicador</w:t>
      </w:r>
      <w:r w:rsidRPr="00AB26DB">
        <w:rPr>
          <w:rFonts w:ascii="Arial" w:hAnsi="Arial" w:cs="Arial"/>
        </w:rPr>
        <w:t xml:space="preserve">. Así, un menor (mayor) resultado en el índice, implica una mayor (menor) fortaleza fiscal. </w:t>
      </w:r>
    </w:p>
    <w:p w:rsidR="0084386F" w:rsidRPr="00AB26DB" w:rsidRDefault="0084386F" w:rsidP="00AB26DB">
      <w:pPr>
        <w:spacing w:after="0" w:line="360" w:lineRule="auto"/>
        <w:jc w:val="both"/>
        <w:rPr>
          <w:rFonts w:ascii="Arial" w:hAnsi="Arial" w:cs="Arial"/>
        </w:rPr>
      </w:pPr>
    </w:p>
    <w:p w:rsidR="0044242D" w:rsidRDefault="0044242D" w:rsidP="00AB26DB">
      <w:pPr>
        <w:spacing w:after="0" w:line="360" w:lineRule="auto"/>
        <w:jc w:val="both"/>
        <w:rPr>
          <w:rFonts w:ascii="Arial" w:hAnsi="Arial" w:cs="Arial"/>
        </w:rPr>
      </w:pPr>
      <w:r w:rsidRPr="00AB26DB">
        <w:rPr>
          <w:rFonts w:ascii="Arial" w:hAnsi="Arial" w:cs="Arial"/>
        </w:rPr>
        <w:t>La tabla a continuación muestra los resultados alcanzados por cada provin</w:t>
      </w:r>
      <w:r w:rsidR="000A2D2D" w:rsidRPr="00AB26DB">
        <w:rPr>
          <w:rFonts w:ascii="Arial" w:hAnsi="Arial" w:cs="Arial"/>
        </w:rPr>
        <w:t>cia en cada indicador</w:t>
      </w:r>
      <w:r w:rsidR="00B74DE1" w:rsidRPr="00AB26DB">
        <w:rPr>
          <w:rFonts w:ascii="Arial" w:hAnsi="Arial" w:cs="Arial"/>
        </w:rPr>
        <w:t xml:space="preserve">. Puede observarse que </w:t>
      </w:r>
      <w:r w:rsidR="000A2D2D" w:rsidRPr="00AB26DB">
        <w:rPr>
          <w:rFonts w:ascii="Arial" w:hAnsi="Arial" w:cs="Arial"/>
        </w:rPr>
        <w:t xml:space="preserve">en 5 de </w:t>
      </w:r>
      <w:r w:rsidR="0042537F">
        <w:rPr>
          <w:rFonts w:ascii="Arial" w:hAnsi="Arial" w:cs="Arial"/>
        </w:rPr>
        <w:t>10</w:t>
      </w:r>
      <w:r w:rsidRPr="00AB26DB">
        <w:rPr>
          <w:rFonts w:ascii="Arial" w:hAnsi="Arial" w:cs="Arial"/>
        </w:rPr>
        <w:t xml:space="preserve"> indicadores, la provincia de San Luis obtuvo el mejor resultado (1), </w:t>
      </w:r>
      <w:r w:rsidR="000E5454" w:rsidRPr="00AB26DB">
        <w:rPr>
          <w:rFonts w:ascii="Arial" w:hAnsi="Arial" w:cs="Arial"/>
        </w:rPr>
        <w:t xml:space="preserve">mientras que </w:t>
      </w:r>
      <w:r w:rsidR="0042537F">
        <w:rPr>
          <w:rFonts w:ascii="Arial" w:hAnsi="Arial" w:cs="Arial"/>
        </w:rPr>
        <w:t>en 3</w:t>
      </w:r>
      <w:r w:rsidRPr="00AB26DB">
        <w:rPr>
          <w:rFonts w:ascii="Arial" w:hAnsi="Arial" w:cs="Arial"/>
        </w:rPr>
        <w:t xml:space="preserve"> de </w:t>
      </w:r>
      <w:r w:rsidR="0042537F">
        <w:rPr>
          <w:rFonts w:ascii="Arial" w:hAnsi="Arial" w:cs="Arial"/>
        </w:rPr>
        <w:t>10</w:t>
      </w:r>
      <w:r w:rsidRPr="00AB26DB">
        <w:rPr>
          <w:rFonts w:ascii="Arial" w:hAnsi="Arial" w:cs="Arial"/>
        </w:rPr>
        <w:t>, la</w:t>
      </w:r>
      <w:r w:rsidR="00B74DE1" w:rsidRPr="00AB26DB">
        <w:rPr>
          <w:rFonts w:ascii="Arial" w:hAnsi="Arial" w:cs="Arial"/>
        </w:rPr>
        <w:t>s</w:t>
      </w:r>
      <w:r w:rsidRPr="00AB26DB">
        <w:rPr>
          <w:rFonts w:ascii="Arial" w:hAnsi="Arial" w:cs="Arial"/>
        </w:rPr>
        <w:t xml:space="preserve"> provincia</w:t>
      </w:r>
      <w:r w:rsidR="00B74DE1" w:rsidRPr="00AB26DB">
        <w:rPr>
          <w:rFonts w:ascii="Arial" w:hAnsi="Arial" w:cs="Arial"/>
        </w:rPr>
        <w:t>s</w:t>
      </w:r>
      <w:r w:rsidRPr="00AB26DB">
        <w:rPr>
          <w:rFonts w:ascii="Arial" w:hAnsi="Arial" w:cs="Arial"/>
        </w:rPr>
        <w:t xml:space="preserve"> de La Rioja </w:t>
      </w:r>
      <w:r w:rsidR="00B74DE1" w:rsidRPr="00AB26DB">
        <w:rPr>
          <w:rFonts w:ascii="Arial" w:hAnsi="Arial" w:cs="Arial"/>
        </w:rPr>
        <w:t xml:space="preserve">y Chubut </w:t>
      </w:r>
      <w:r w:rsidRPr="00AB26DB">
        <w:rPr>
          <w:rFonts w:ascii="Arial" w:hAnsi="Arial" w:cs="Arial"/>
        </w:rPr>
        <w:t>obtuv</w:t>
      </w:r>
      <w:r w:rsidR="00B74DE1" w:rsidRPr="00AB26DB">
        <w:rPr>
          <w:rFonts w:ascii="Arial" w:hAnsi="Arial" w:cs="Arial"/>
        </w:rPr>
        <w:t xml:space="preserve">ieron </w:t>
      </w:r>
      <w:r w:rsidRPr="00AB26DB">
        <w:rPr>
          <w:rFonts w:ascii="Arial" w:hAnsi="Arial" w:cs="Arial"/>
        </w:rPr>
        <w:t xml:space="preserve">el peor </w:t>
      </w:r>
      <w:r w:rsidR="00825237" w:rsidRPr="00AB26DB">
        <w:rPr>
          <w:rFonts w:ascii="Arial" w:hAnsi="Arial" w:cs="Arial"/>
        </w:rPr>
        <w:t>resultado (</w:t>
      </w:r>
      <w:r w:rsidRPr="00AB26DB">
        <w:rPr>
          <w:rFonts w:ascii="Arial" w:hAnsi="Arial" w:cs="Arial"/>
        </w:rPr>
        <w:t xml:space="preserve">24). </w:t>
      </w:r>
    </w:p>
    <w:p w:rsidR="0084386F" w:rsidRPr="00AB26DB" w:rsidRDefault="0084386F" w:rsidP="00AB26DB">
      <w:pPr>
        <w:spacing w:after="0" w:line="360" w:lineRule="auto"/>
        <w:jc w:val="both"/>
        <w:rPr>
          <w:rFonts w:ascii="Arial" w:hAnsi="Arial" w:cs="Arial"/>
        </w:rPr>
      </w:pPr>
    </w:p>
    <w:p w:rsidR="00285844" w:rsidRDefault="00942042" w:rsidP="0084386F">
      <w:pPr>
        <w:spacing w:after="0" w:line="360" w:lineRule="auto"/>
        <w:jc w:val="both"/>
        <w:rPr>
          <w:rFonts w:ascii="Arial" w:hAnsi="Arial" w:cs="Arial"/>
        </w:rPr>
      </w:pPr>
      <w:r w:rsidRPr="00AB26DB">
        <w:rPr>
          <w:rFonts w:ascii="Arial" w:hAnsi="Arial" w:cs="Arial"/>
        </w:rPr>
        <w:t>Así, el</w:t>
      </w:r>
      <w:r w:rsidR="00161E79">
        <w:rPr>
          <w:rFonts w:ascii="Arial" w:hAnsi="Arial" w:cs="Arial"/>
        </w:rPr>
        <w:t xml:space="preserve"> </w:t>
      </w:r>
      <w:r w:rsidR="00161E79">
        <w:rPr>
          <w:rFonts w:ascii="Arial" w:hAnsi="Arial" w:cs="Arial"/>
          <w:i/>
        </w:rPr>
        <w:t>índice de fortaleza fiscal</w:t>
      </w:r>
      <w:r w:rsidRPr="00AB26DB">
        <w:rPr>
          <w:rFonts w:ascii="Arial" w:hAnsi="Arial" w:cs="Arial"/>
          <w:i/>
        </w:rPr>
        <w:t>,</w:t>
      </w:r>
      <w:r w:rsidR="00161E79">
        <w:rPr>
          <w:rFonts w:ascii="Arial" w:hAnsi="Arial" w:cs="Arial"/>
          <w:i/>
        </w:rPr>
        <w:t xml:space="preserve"> </w:t>
      </w:r>
      <w:r w:rsidRPr="00AB26DB">
        <w:rPr>
          <w:rFonts w:ascii="Arial" w:hAnsi="Arial" w:cs="Arial"/>
        </w:rPr>
        <w:t xml:space="preserve">en esta primera versión, </w:t>
      </w:r>
      <w:r w:rsidR="0044242D" w:rsidRPr="00AB26DB">
        <w:rPr>
          <w:rFonts w:ascii="Arial" w:hAnsi="Arial" w:cs="Arial"/>
        </w:rPr>
        <w:t xml:space="preserve">asumirá un valor equivalente al promedio </w:t>
      </w:r>
      <w:r w:rsidR="000E5454" w:rsidRPr="00AB26DB">
        <w:rPr>
          <w:rFonts w:ascii="Arial" w:hAnsi="Arial" w:cs="Arial"/>
        </w:rPr>
        <w:t xml:space="preserve">simple </w:t>
      </w:r>
      <w:r w:rsidR="0044242D" w:rsidRPr="00AB26DB">
        <w:rPr>
          <w:rFonts w:ascii="Arial" w:hAnsi="Arial" w:cs="Arial"/>
        </w:rPr>
        <w:t>de l</w:t>
      </w:r>
      <w:r w:rsidR="000E5454" w:rsidRPr="00AB26DB">
        <w:rPr>
          <w:rFonts w:ascii="Arial" w:hAnsi="Arial" w:cs="Arial"/>
        </w:rPr>
        <w:t xml:space="preserve">as posiciones </w:t>
      </w:r>
      <w:r w:rsidR="00825237" w:rsidRPr="00AB26DB">
        <w:rPr>
          <w:rFonts w:ascii="Arial" w:hAnsi="Arial" w:cs="Arial"/>
        </w:rPr>
        <w:t>de</w:t>
      </w:r>
      <w:r w:rsidR="0044242D" w:rsidRPr="00AB26DB">
        <w:rPr>
          <w:rFonts w:ascii="Arial" w:hAnsi="Arial" w:cs="Arial"/>
        </w:rPr>
        <w:t xml:space="preserve"> cada provincia en los </w:t>
      </w:r>
      <w:r w:rsidR="000E5454" w:rsidRPr="00AB26DB">
        <w:rPr>
          <w:rFonts w:ascii="Arial" w:hAnsi="Arial" w:cs="Arial"/>
        </w:rPr>
        <w:t xml:space="preserve">diez </w:t>
      </w:r>
      <w:r w:rsidR="0044242D" w:rsidRPr="00AB26DB">
        <w:rPr>
          <w:rFonts w:ascii="Arial" w:hAnsi="Arial" w:cs="Arial"/>
        </w:rPr>
        <w:t>indicadores considerados.</w:t>
      </w:r>
    </w:p>
    <w:p w:rsidR="0084386F" w:rsidRPr="0084386F" w:rsidRDefault="0084386F" w:rsidP="0084386F">
      <w:pPr>
        <w:spacing w:after="0" w:line="360" w:lineRule="auto"/>
        <w:jc w:val="both"/>
        <w:rPr>
          <w:rFonts w:ascii="Arial" w:hAnsi="Arial" w:cs="Arial"/>
        </w:rPr>
      </w:pPr>
    </w:p>
    <w:p w:rsidR="0044242D" w:rsidRPr="00AB26DB" w:rsidRDefault="0044242D" w:rsidP="0099018A">
      <w:pPr>
        <w:keepNext/>
        <w:spacing w:line="240" w:lineRule="auto"/>
        <w:jc w:val="center"/>
        <w:rPr>
          <w:rFonts w:ascii="Arial" w:hAnsi="Arial" w:cs="Arial"/>
        </w:rPr>
      </w:pPr>
      <w:r w:rsidRPr="00AB26DB">
        <w:rPr>
          <w:rFonts w:ascii="Arial" w:hAnsi="Arial" w:cs="Arial"/>
          <w:b/>
        </w:rPr>
        <w:t>Índice de Fortaleza Fiscal</w:t>
      </w:r>
      <w:r w:rsidRPr="00AB26DB">
        <w:rPr>
          <w:rFonts w:ascii="Arial" w:hAnsi="Arial" w:cs="Arial"/>
        </w:rPr>
        <w:br/>
        <w:t xml:space="preserve">Promedio simple </w:t>
      </w:r>
      <w:r w:rsidR="00AB55F7" w:rsidRPr="00AB26DB">
        <w:rPr>
          <w:rFonts w:ascii="Arial" w:hAnsi="Arial" w:cs="Arial"/>
        </w:rPr>
        <w:t>(IFF1)</w:t>
      </w:r>
      <w:r w:rsidR="00025174" w:rsidRPr="00AB26DB">
        <w:rPr>
          <w:rFonts w:ascii="Arial" w:hAnsi="Arial" w:cs="Arial"/>
        </w:rPr>
        <w:t xml:space="preserve"> – Por provincia</w:t>
      </w:r>
    </w:p>
    <w:p w:rsidR="0044242D" w:rsidRPr="0044242D" w:rsidRDefault="00AE38B1" w:rsidP="0044242D">
      <w:pPr>
        <w:spacing w:line="480" w:lineRule="auto"/>
        <w:jc w:val="center"/>
        <w:rPr>
          <w:rFonts w:ascii="Times New Roman" w:hAnsi="Times New Roman" w:cs="Times New Roman"/>
          <w:sz w:val="24"/>
          <w:szCs w:val="24"/>
        </w:rPr>
      </w:pPr>
      <w:r w:rsidRPr="00AE38B1">
        <w:rPr>
          <w:noProof/>
          <w:szCs w:val="24"/>
        </w:rPr>
        <w:drawing>
          <wp:inline distT="0" distB="0" distL="0" distR="0">
            <wp:extent cx="5759450" cy="2518555"/>
            <wp:effectExtent l="19050" t="0" r="0" b="0"/>
            <wp:docPr id="83"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srcRect/>
                    <a:stretch>
                      <a:fillRect/>
                    </a:stretch>
                  </pic:blipFill>
                  <pic:spPr bwMode="auto">
                    <a:xfrm>
                      <a:off x="0" y="0"/>
                      <a:ext cx="5759450" cy="2518555"/>
                    </a:xfrm>
                    <a:prstGeom prst="rect">
                      <a:avLst/>
                    </a:prstGeom>
                    <a:noFill/>
                    <a:ln w="9525">
                      <a:noFill/>
                      <a:miter lim="800000"/>
                      <a:headEnd/>
                      <a:tailEnd/>
                    </a:ln>
                  </pic:spPr>
                </pic:pic>
              </a:graphicData>
            </a:graphic>
          </wp:inline>
        </w:drawing>
      </w:r>
    </w:p>
    <w:p w:rsidR="0044242D" w:rsidRPr="00AB26DB" w:rsidRDefault="00837761" w:rsidP="00DE5BBD">
      <w:pPr>
        <w:spacing w:line="240" w:lineRule="auto"/>
        <w:jc w:val="center"/>
        <w:rPr>
          <w:rFonts w:ascii="Arial" w:hAnsi="Arial" w:cs="Arial"/>
          <w:i/>
          <w:sz w:val="18"/>
          <w:szCs w:val="18"/>
        </w:rPr>
      </w:pPr>
      <w:r w:rsidRPr="00AB26DB">
        <w:rPr>
          <w:rFonts w:ascii="Arial" w:hAnsi="Arial" w:cs="Arial"/>
          <w:i/>
          <w:sz w:val="18"/>
          <w:szCs w:val="18"/>
        </w:rPr>
        <w:t>Elaboración propia</w:t>
      </w:r>
      <w:r w:rsidR="0044242D" w:rsidRPr="00AB26DB">
        <w:rPr>
          <w:rFonts w:ascii="Arial" w:hAnsi="Arial" w:cs="Arial"/>
          <w:i/>
          <w:sz w:val="18"/>
          <w:szCs w:val="18"/>
        </w:rPr>
        <w:t xml:space="preserve"> en base a fuentes oficiales del gobierno de cada provincia y al Ministerio del Interior. Excluye al indicador número ocho (8). IC: ingresos corrientes; GT: g</w:t>
      </w:r>
      <w:r w:rsidR="005F5627">
        <w:rPr>
          <w:rFonts w:ascii="Arial" w:hAnsi="Arial" w:cs="Arial"/>
          <w:i/>
          <w:sz w:val="18"/>
          <w:szCs w:val="18"/>
        </w:rPr>
        <w:t>asto total; GC: gasto corriente</w:t>
      </w:r>
      <w:r w:rsidR="0044242D" w:rsidRPr="00AB26DB">
        <w:rPr>
          <w:rFonts w:ascii="Arial" w:hAnsi="Arial" w:cs="Arial"/>
          <w:i/>
          <w:sz w:val="18"/>
          <w:szCs w:val="18"/>
        </w:rPr>
        <w:t>; SS: servicios de la deuda; ICN: ingresos corrientes netos</w:t>
      </w:r>
      <w:r w:rsidR="000E0CEA">
        <w:rPr>
          <w:rFonts w:ascii="Arial" w:hAnsi="Arial" w:cs="Arial"/>
          <w:i/>
          <w:sz w:val="18"/>
          <w:szCs w:val="18"/>
        </w:rPr>
        <w:t xml:space="preserve">. </w:t>
      </w:r>
    </w:p>
    <w:p w:rsidR="000E5454" w:rsidRDefault="000E5454" w:rsidP="0049048E">
      <w:pPr>
        <w:spacing w:line="480" w:lineRule="auto"/>
        <w:jc w:val="both"/>
        <w:rPr>
          <w:rFonts w:ascii="Times New Roman" w:hAnsi="Times New Roman" w:cs="Times New Roman"/>
        </w:rPr>
      </w:pPr>
    </w:p>
    <w:p w:rsidR="00793D77" w:rsidRDefault="0044242D" w:rsidP="00752303">
      <w:pPr>
        <w:spacing w:after="0" w:line="360" w:lineRule="auto"/>
        <w:jc w:val="both"/>
        <w:rPr>
          <w:rFonts w:ascii="Arial" w:hAnsi="Arial" w:cs="Arial"/>
        </w:rPr>
      </w:pPr>
      <w:r w:rsidRPr="00AB26DB">
        <w:rPr>
          <w:rFonts w:ascii="Arial" w:hAnsi="Arial" w:cs="Arial"/>
        </w:rPr>
        <w:t>De esta forma, la provincia de San Luis ocupa el primer lugar en el ranking, convirtiéndose así en la provincia con mayor fortaleza fiscal</w:t>
      </w:r>
      <w:r w:rsidR="000E5454" w:rsidRPr="00AB26DB">
        <w:rPr>
          <w:rFonts w:ascii="Arial" w:hAnsi="Arial" w:cs="Arial"/>
        </w:rPr>
        <w:t xml:space="preserve"> en 2017</w:t>
      </w:r>
      <w:r w:rsidRPr="00AB26DB">
        <w:rPr>
          <w:rFonts w:ascii="Arial" w:hAnsi="Arial" w:cs="Arial"/>
        </w:rPr>
        <w:t xml:space="preserve">. En el extremo opuesto, </w:t>
      </w:r>
      <w:r w:rsidR="00942042" w:rsidRPr="00AB26DB">
        <w:rPr>
          <w:rFonts w:ascii="Arial" w:hAnsi="Arial" w:cs="Arial"/>
        </w:rPr>
        <w:t xml:space="preserve">Chubut, </w:t>
      </w:r>
      <w:r w:rsidR="00FC3F05">
        <w:rPr>
          <w:rFonts w:ascii="Arial" w:hAnsi="Arial" w:cs="Arial"/>
        </w:rPr>
        <w:t xml:space="preserve">Buenos Aires y </w:t>
      </w:r>
      <w:r w:rsidR="00C10281" w:rsidRPr="00AB26DB">
        <w:rPr>
          <w:rFonts w:ascii="Arial" w:hAnsi="Arial" w:cs="Arial"/>
        </w:rPr>
        <w:t>Salta</w:t>
      </w:r>
      <w:r w:rsidRPr="00AB26DB">
        <w:rPr>
          <w:rFonts w:ascii="Arial" w:hAnsi="Arial" w:cs="Arial"/>
        </w:rPr>
        <w:t xml:space="preserve">, con el mayor </w:t>
      </w:r>
      <w:r w:rsidR="003862B5" w:rsidRPr="00AB26DB">
        <w:rPr>
          <w:rFonts w:ascii="Arial" w:hAnsi="Arial" w:cs="Arial"/>
        </w:rPr>
        <w:t>valor del índice</w:t>
      </w:r>
      <w:r w:rsidRPr="00AB26DB">
        <w:rPr>
          <w:rFonts w:ascii="Arial" w:hAnsi="Arial" w:cs="Arial"/>
        </w:rPr>
        <w:t xml:space="preserve">, </w:t>
      </w:r>
      <w:r w:rsidR="00942042" w:rsidRPr="00AB26DB">
        <w:rPr>
          <w:rFonts w:ascii="Arial" w:hAnsi="Arial" w:cs="Arial"/>
        </w:rPr>
        <w:t xml:space="preserve">aparecerían como </w:t>
      </w:r>
      <w:r w:rsidRPr="00AB26DB">
        <w:rPr>
          <w:rFonts w:ascii="Arial" w:hAnsi="Arial" w:cs="Arial"/>
        </w:rPr>
        <w:t>las provincias con menor fortaleza fiscal</w:t>
      </w:r>
      <w:r w:rsidR="00942042" w:rsidRPr="00AB26DB">
        <w:rPr>
          <w:rFonts w:ascii="Arial" w:hAnsi="Arial" w:cs="Arial"/>
        </w:rPr>
        <w:t xml:space="preserve"> en el año 2017</w:t>
      </w:r>
      <w:r w:rsidRPr="00AB26DB">
        <w:rPr>
          <w:rFonts w:ascii="Arial" w:hAnsi="Arial" w:cs="Arial"/>
        </w:rPr>
        <w:t xml:space="preserve">. </w:t>
      </w:r>
    </w:p>
    <w:p w:rsidR="008F2401" w:rsidRDefault="008F2401" w:rsidP="00752303">
      <w:pPr>
        <w:spacing w:after="0" w:line="360" w:lineRule="auto"/>
        <w:jc w:val="both"/>
        <w:rPr>
          <w:rFonts w:ascii="Arial" w:hAnsi="Arial" w:cs="Arial"/>
        </w:rPr>
      </w:pPr>
    </w:p>
    <w:p w:rsidR="0084386F" w:rsidRPr="00752303" w:rsidRDefault="008F2401" w:rsidP="008F2401">
      <w:pPr>
        <w:keepNext/>
        <w:spacing w:line="240" w:lineRule="auto"/>
        <w:jc w:val="center"/>
        <w:rPr>
          <w:rFonts w:ascii="Arial" w:hAnsi="Arial" w:cs="Arial"/>
        </w:rPr>
      </w:pPr>
      <w:r w:rsidRPr="00AB26DB">
        <w:rPr>
          <w:rFonts w:ascii="Arial" w:hAnsi="Arial" w:cs="Arial"/>
          <w:b/>
        </w:rPr>
        <w:t>Índice de Fortaleza Fiscal</w:t>
      </w:r>
      <w:r w:rsidRPr="00AB26DB">
        <w:rPr>
          <w:rFonts w:ascii="Arial" w:hAnsi="Arial" w:cs="Arial"/>
        </w:rPr>
        <w:br/>
        <w:t>Promedio simple (IFF1) – Por provincia</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60"/>
        <w:gridCol w:w="4764"/>
        <w:gridCol w:w="762"/>
      </w:tblGrid>
      <w:tr w:rsidR="0044242D" w:rsidRPr="0044242D" w:rsidTr="002A3BC4">
        <w:tc>
          <w:tcPr>
            <w:tcW w:w="4302" w:type="dxa"/>
          </w:tcPr>
          <w:tbl>
            <w:tblPr>
              <w:tblW w:w="3460" w:type="dxa"/>
              <w:tblCellMar>
                <w:left w:w="70" w:type="dxa"/>
                <w:right w:w="70" w:type="dxa"/>
              </w:tblCellMar>
              <w:tblLook w:val="04A0" w:firstRow="1" w:lastRow="0" w:firstColumn="1" w:lastColumn="0" w:noHBand="0" w:noVBand="1"/>
            </w:tblPr>
            <w:tblGrid>
              <w:gridCol w:w="2200"/>
              <w:gridCol w:w="1260"/>
            </w:tblGrid>
            <w:tr w:rsidR="00102E00" w:rsidRPr="00102E00" w:rsidTr="00102E00">
              <w:trPr>
                <w:trHeight w:val="227"/>
              </w:trPr>
              <w:tc>
                <w:tcPr>
                  <w:tcW w:w="2200" w:type="dxa"/>
                  <w:tcBorders>
                    <w:top w:val="single" w:sz="4" w:space="0" w:color="auto"/>
                    <w:left w:val="single" w:sz="4" w:space="0" w:color="auto"/>
                    <w:bottom w:val="single" w:sz="4" w:space="0" w:color="FFFFFF"/>
                    <w:right w:val="single" w:sz="4" w:space="0" w:color="FFFFFF"/>
                  </w:tcBorders>
                  <w:shd w:val="clear" w:color="000000" w:fill="002060"/>
                  <w:vAlign w:val="center"/>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Provincia</w:t>
                  </w:r>
                </w:p>
              </w:tc>
              <w:tc>
                <w:tcPr>
                  <w:tcW w:w="1260" w:type="dxa"/>
                  <w:tcBorders>
                    <w:top w:val="single" w:sz="4" w:space="0" w:color="auto"/>
                    <w:left w:val="nil"/>
                    <w:bottom w:val="single" w:sz="4" w:space="0" w:color="FFFFFF"/>
                    <w:right w:val="single" w:sz="4" w:space="0" w:color="auto"/>
                  </w:tcBorders>
                  <w:shd w:val="clear" w:color="000000" w:fill="002060"/>
                  <w:vAlign w:val="center"/>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ÍNDICE</w:t>
                  </w:r>
                </w:p>
              </w:tc>
            </w:tr>
            <w:tr w:rsidR="00102E00" w:rsidRPr="00102E00" w:rsidTr="00102E00">
              <w:trPr>
                <w:trHeight w:val="227"/>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San Luis</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6</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Catamarca</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7</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Corrientes</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8</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Santiago del Estero</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8</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San Juan</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8</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Formosa</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8</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La Pampa</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10</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Santa Fe</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10</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Córdoba</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11</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Tucumán</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12</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Chaco</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12</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CABA</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13</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Tierra del Fuego</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13</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Misiones</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14</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Entre Ríos</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14</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Santa Cruz</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15</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Río Negro</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15</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Mendoza</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16</w:t>
                  </w:r>
                </w:p>
              </w:tc>
            </w:tr>
            <w:tr w:rsidR="007D088E" w:rsidRPr="00102E00" w:rsidTr="000E0CEA">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088E" w:rsidRPr="00102E00" w:rsidRDefault="007D088E" w:rsidP="000E0CEA">
                  <w:pPr>
                    <w:spacing w:after="0" w:line="240" w:lineRule="auto"/>
                    <w:rPr>
                      <w:rFonts w:ascii="Arial" w:eastAsia="Times New Roman" w:hAnsi="Arial" w:cs="Arial"/>
                      <w:color w:val="000000"/>
                    </w:rPr>
                  </w:pPr>
                  <w:r w:rsidRPr="00102E00">
                    <w:rPr>
                      <w:rFonts w:ascii="Arial" w:eastAsia="Times New Roman" w:hAnsi="Arial" w:cs="Arial"/>
                      <w:color w:val="000000"/>
                    </w:rPr>
                    <w:t>La Rioja</w:t>
                  </w:r>
                </w:p>
              </w:tc>
              <w:tc>
                <w:tcPr>
                  <w:tcW w:w="1260" w:type="dxa"/>
                  <w:tcBorders>
                    <w:top w:val="nil"/>
                    <w:left w:val="nil"/>
                    <w:bottom w:val="nil"/>
                    <w:right w:val="single" w:sz="4" w:space="0" w:color="auto"/>
                  </w:tcBorders>
                  <w:shd w:val="clear" w:color="000000" w:fill="8EAADC"/>
                  <w:noWrap/>
                  <w:vAlign w:val="bottom"/>
                  <w:hideMark/>
                </w:tcPr>
                <w:p w:rsidR="007D088E" w:rsidRPr="00102E00" w:rsidRDefault="007D088E" w:rsidP="000E0CEA">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16</w:t>
                  </w:r>
                </w:p>
              </w:tc>
            </w:tr>
            <w:tr w:rsidR="007D088E" w:rsidRPr="00102E00" w:rsidTr="000E0CEA">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088E" w:rsidRPr="00102E00" w:rsidRDefault="007D088E" w:rsidP="000E0CEA">
                  <w:pPr>
                    <w:spacing w:after="0" w:line="240" w:lineRule="auto"/>
                    <w:rPr>
                      <w:rFonts w:ascii="Arial" w:eastAsia="Times New Roman" w:hAnsi="Arial" w:cs="Arial"/>
                      <w:color w:val="000000"/>
                    </w:rPr>
                  </w:pPr>
                  <w:r w:rsidRPr="00102E00">
                    <w:rPr>
                      <w:rFonts w:ascii="Arial" w:eastAsia="Times New Roman" w:hAnsi="Arial" w:cs="Arial"/>
                      <w:color w:val="000000"/>
                    </w:rPr>
                    <w:t>Jujuy</w:t>
                  </w:r>
                </w:p>
              </w:tc>
              <w:tc>
                <w:tcPr>
                  <w:tcW w:w="1260" w:type="dxa"/>
                  <w:tcBorders>
                    <w:top w:val="nil"/>
                    <w:left w:val="nil"/>
                    <w:bottom w:val="nil"/>
                    <w:right w:val="single" w:sz="4" w:space="0" w:color="auto"/>
                  </w:tcBorders>
                  <w:shd w:val="clear" w:color="000000" w:fill="8EAADC"/>
                  <w:noWrap/>
                  <w:vAlign w:val="bottom"/>
                  <w:hideMark/>
                </w:tcPr>
                <w:p w:rsidR="007D088E" w:rsidRPr="00102E00" w:rsidRDefault="007D088E" w:rsidP="000E0CEA">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16</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Neuquén</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16</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Salta</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17</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Buenos Aires</w:t>
                  </w:r>
                </w:p>
              </w:tc>
              <w:tc>
                <w:tcPr>
                  <w:tcW w:w="1260" w:type="dxa"/>
                  <w:tcBorders>
                    <w:top w:val="nil"/>
                    <w:left w:val="nil"/>
                    <w:bottom w:val="nil"/>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17</w:t>
                  </w:r>
                </w:p>
              </w:tc>
            </w:tr>
            <w:tr w:rsidR="00102E00" w:rsidRPr="00102E00" w:rsidTr="00102E00">
              <w:trPr>
                <w:trHeight w:val="227"/>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02E00" w:rsidRPr="00102E00" w:rsidRDefault="00102E00" w:rsidP="00102E00">
                  <w:pPr>
                    <w:spacing w:after="0" w:line="240" w:lineRule="auto"/>
                    <w:rPr>
                      <w:rFonts w:ascii="Arial" w:eastAsia="Times New Roman" w:hAnsi="Arial" w:cs="Arial"/>
                      <w:color w:val="000000"/>
                    </w:rPr>
                  </w:pPr>
                  <w:r w:rsidRPr="00102E00">
                    <w:rPr>
                      <w:rFonts w:ascii="Arial" w:eastAsia="Times New Roman" w:hAnsi="Arial" w:cs="Arial"/>
                      <w:color w:val="000000"/>
                    </w:rPr>
                    <w:t>Chubut</w:t>
                  </w:r>
                </w:p>
              </w:tc>
              <w:tc>
                <w:tcPr>
                  <w:tcW w:w="1260" w:type="dxa"/>
                  <w:tcBorders>
                    <w:top w:val="nil"/>
                    <w:left w:val="nil"/>
                    <w:bottom w:val="single" w:sz="4" w:space="0" w:color="auto"/>
                    <w:right w:val="single" w:sz="4" w:space="0" w:color="auto"/>
                  </w:tcBorders>
                  <w:shd w:val="clear" w:color="000000" w:fill="8EAADC"/>
                  <w:noWrap/>
                  <w:vAlign w:val="bottom"/>
                  <w:hideMark/>
                </w:tcPr>
                <w:p w:rsidR="00102E00" w:rsidRPr="00102E00" w:rsidRDefault="00102E00" w:rsidP="00102E00">
                  <w:pPr>
                    <w:spacing w:after="0" w:line="240" w:lineRule="auto"/>
                    <w:jc w:val="center"/>
                    <w:rPr>
                      <w:rFonts w:ascii="Arial" w:eastAsia="Times New Roman" w:hAnsi="Arial" w:cs="Arial"/>
                      <w:b/>
                      <w:bCs/>
                      <w:color w:val="FFFFFF"/>
                    </w:rPr>
                  </w:pPr>
                  <w:r w:rsidRPr="00102E00">
                    <w:rPr>
                      <w:rFonts w:ascii="Arial" w:eastAsia="Times New Roman" w:hAnsi="Arial" w:cs="Arial"/>
                      <w:b/>
                      <w:bCs/>
                      <w:color w:val="FFFFFF"/>
                    </w:rPr>
                    <w:t>18</w:t>
                  </w:r>
                </w:p>
              </w:tc>
            </w:tr>
          </w:tbl>
          <w:p w:rsidR="0044242D" w:rsidRPr="0044242D" w:rsidRDefault="0044242D" w:rsidP="000E2C0C">
            <w:pPr>
              <w:jc w:val="both"/>
              <w:rPr>
                <w:rFonts w:ascii="Times New Roman" w:hAnsi="Times New Roman" w:cs="Times New Roman"/>
                <w:sz w:val="24"/>
                <w:szCs w:val="24"/>
              </w:rPr>
            </w:pPr>
          </w:p>
        </w:tc>
        <w:tc>
          <w:tcPr>
            <w:tcW w:w="5206" w:type="dxa"/>
            <w:gridSpan w:val="2"/>
          </w:tcPr>
          <w:p w:rsidR="0044242D" w:rsidRPr="0044242D" w:rsidRDefault="00102E00" w:rsidP="008F240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43275" cy="4181210"/>
                  <wp:effectExtent l="19050" t="0" r="9525" b="0"/>
                  <wp:docPr id="78"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srcRect/>
                          <a:stretch>
                            <a:fillRect/>
                          </a:stretch>
                        </pic:blipFill>
                        <pic:spPr bwMode="auto">
                          <a:xfrm>
                            <a:off x="0" y="0"/>
                            <a:ext cx="3344968" cy="4183327"/>
                          </a:xfrm>
                          <a:prstGeom prst="rect">
                            <a:avLst/>
                          </a:prstGeom>
                          <a:noFill/>
                          <a:ln w="9525">
                            <a:noFill/>
                            <a:miter lim="800000"/>
                            <a:headEnd/>
                            <a:tailEnd/>
                          </a:ln>
                        </pic:spPr>
                      </pic:pic>
                    </a:graphicData>
                  </a:graphic>
                </wp:inline>
              </w:drawing>
            </w:r>
          </w:p>
        </w:tc>
      </w:tr>
      <w:tr w:rsidR="0044242D" w:rsidRPr="0044242D" w:rsidTr="002A3BC4">
        <w:tc>
          <w:tcPr>
            <w:tcW w:w="8981" w:type="dxa"/>
            <w:gridSpan w:val="2"/>
          </w:tcPr>
          <w:p w:rsidR="0044242D" w:rsidRPr="00AB26DB" w:rsidRDefault="00837761" w:rsidP="006D2517">
            <w:pPr>
              <w:jc w:val="both"/>
              <w:rPr>
                <w:rFonts w:ascii="Arial" w:hAnsi="Arial" w:cs="Arial"/>
                <w:sz w:val="18"/>
                <w:szCs w:val="18"/>
              </w:rPr>
            </w:pPr>
            <w:r w:rsidRPr="00AB26DB">
              <w:rPr>
                <w:rFonts w:ascii="Arial" w:hAnsi="Arial" w:cs="Arial"/>
                <w:i/>
                <w:sz w:val="18"/>
                <w:szCs w:val="18"/>
              </w:rPr>
              <w:t>Elaboración propia</w:t>
            </w:r>
            <w:r w:rsidR="0044242D" w:rsidRPr="00AB26DB">
              <w:rPr>
                <w:rFonts w:ascii="Arial" w:hAnsi="Arial" w:cs="Arial"/>
                <w:i/>
                <w:sz w:val="18"/>
                <w:szCs w:val="18"/>
              </w:rPr>
              <w:t xml:space="preserve"> en base a fuentes oficiales del gobierno de cada provincia y al Ministerio del Interior.</w:t>
            </w:r>
          </w:p>
        </w:tc>
        <w:tc>
          <w:tcPr>
            <w:tcW w:w="527" w:type="dxa"/>
          </w:tcPr>
          <w:p w:rsidR="0044242D" w:rsidRPr="0044242D" w:rsidRDefault="0044242D" w:rsidP="0044242D">
            <w:pPr>
              <w:spacing w:line="480" w:lineRule="auto"/>
              <w:jc w:val="both"/>
              <w:rPr>
                <w:rFonts w:ascii="Times New Roman" w:hAnsi="Times New Roman" w:cs="Times New Roman"/>
                <w:sz w:val="24"/>
                <w:szCs w:val="24"/>
              </w:rPr>
            </w:pPr>
          </w:p>
        </w:tc>
      </w:tr>
    </w:tbl>
    <w:p w:rsidR="0044242D" w:rsidRDefault="0044242D" w:rsidP="00AB26DB">
      <w:pPr>
        <w:spacing w:after="0" w:line="360" w:lineRule="auto"/>
        <w:jc w:val="both"/>
        <w:rPr>
          <w:rFonts w:ascii="Arial" w:hAnsi="Arial" w:cs="Arial"/>
        </w:rPr>
      </w:pPr>
      <w:r w:rsidRPr="00AB26DB">
        <w:rPr>
          <w:rFonts w:ascii="Arial" w:hAnsi="Arial" w:cs="Arial"/>
          <w:b/>
          <w:i/>
        </w:rPr>
        <w:t>Promedio Simple considerando las diferencias relativas</w:t>
      </w:r>
      <w:r w:rsidR="00DA0E78" w:rsidRPr="00AB26DB">
        <w:rPr>
          <w:rFonts w:ascii="Arial" w:hAnsi="Arial" w:cs="Arial"/>
          <w:b/>
          <w:i/>
        </w:rPr>
        <w:t xml:space="preserve"> (IFF</w:t>
      </w:r>
      <w:r w:rsidR="00942042" w:rsidRPr="00AB26DB">
        <w:rPr>
          <w:rFonts w:ascii="Arial" w:hAnsi="Arial" w:cs="Arial"/>
          <w:b/>
          <w:i/>
        </w:rPr>
        <w:t>2</w:t>
      </w:r>
      <w:r w:rsidR="00DA0E78" w:rsidRPr="00AB26DB">
        <w:rPr>
          <w:rFonts w:ascii="Arial" w:hAnsi="Arial" w:cs="Arial"/>
          <w:b/>
          <w:i/>
        </w:rPr>
        <w:t>)</w:t>
      </w:r>
      <w:r w:rsidRPr="00AB26DB">
        <w:rPr>
          <w:rFonts w:ascii="Arial" w:hAnsi="Arial" w:cs="Arial"/>
        </w:rPr>
        <w:t xml:space="preserve">. En esta </w:t>
      </w:r>
      <w:r w:rsidR="00942042" w:rsidRPr="00AB26DB">
        <w:rPr>
          <w:rFonts w:ascii="Arial" w:hAnsi="Arial" w:cs="Arial"/>
        </w:rPr>
        <w:t>segunda versión</w:t>
      </w:r>
      <w:r w:rsidRPr="00AB26DB">
        <w:rPr>
          <w:rFonts w:ascii="Arial" w:hAnsi="Arial" w:cs="Arial"/>
        </w:rPr>
        <w:t>, para obtener el resultado de cad</w:t>
      </w:r>
      <w:r w:rsidR="00411EFE" w:rsidRPr="00AB26DB">
        <w:rPr>
          <w:rFonts w:ascii="Arial" w:hAnsi="Arial" w:cs="Arial"/>
        </w:rPr>
        <w:t xml:space="preserve">a provincia en cada uno de los </w:t>
      </w:r>
      <w:r w:rsidR="00942042" w:rsidRPr="00AB26DB">
        <w:rPr>
          <w:rFonts w:ascii="Arial" w:hAnsi="Arial" w:cs="Arial"/>
        </w:rPr>
        <w:t>diez</w:t>
      </w:r>
      <w:r w:rsidRPr="00AB26DB">
        <w:rPr>
          <w:rFonts w:ascii="Arial" w:hAnsi="Arial" w:cs="Arial"/>
        </w:rPr>
        <w:t xml:space="preserve"> indicadores se consideran las diferencias relativas </w:t>
      </w:r>
      <w:r w:rsidR="00942042" w:rsidRPr="00AB26DB">
        <w:rPr>
          <w:rFonts w:ascii="Arial" w:hAnsi="Arial" w:cs="Arial"/>
        </w:rPr>
        <w:t xml:space="preserve">existentes </w:t>
      </w:r>
      <w:r w:rsidRPr="00AB26DB">
        <w:rPr>
          <w:rFonts w:ascii="Arial" w:hAnsi="Arial" w:cs="Arial"/>
        </w:rPr>
        <w:t>entre ellas</w:t>
      </w:r>
      <w:r w:rsidR="00942042" w:rsidRPr="00AB26DB">
        <w:rPr>
          <w:rFonts w:ascii="Arial" w:hAnsi="Arial" w:cs="Arial"/>
        </w:rPr>
        <w:t>, no sólo su posición en el ranking</w:t>
      </w:r>
      <w:r w:rsidRPr="00AB26DB">
        <w:rPr>
          <w:rFonts w:ascii="Arial" w:hAnsi="Arial" w:cs="Arial"/>
        </w:rPr>
        <w:t>.</w:t>
      </w:r>
      <w:r w:rsidR="00942042" w:rsidRPr="00AB26DB">
        <w:rPr>
          <w:rFonts w:ascii="Arial" w:hAnsi="Arial" w:cs="Arial"/>
        </w:rPr>
        <w:t xml:space="preserve"> Así, b</w:t>
      </w:r>
      <w:r w:rsidRPr="00AB26DB">
        <w:rPr>
          <w:rFonts w:ascii="Arial" w:hAnsi="Arial" w:cs="Arial"/>
        </w:rPr>
        <w:t xml:space="preserve">asados en los resultados observados </w:t>
      </w:r>
      <w:r w:rsidR="00942042" w:rsidRPr="00AB26DB">
        <w:rPr>
          <w:rFonts w:ascii="Arial" w:hAnsi="Arial" w:cs="Arial"/>
        </w:rPr>
        <w:t xml:space="preserve">para </w:t>
      </w:r>
      <w:r w:rsidRPr="00AB26DB">
        <w:rPr>
          <w:rFonts w:ascii="Arial" w:hAnsi="Arial" w:cs="Arial"/>
        </w:rPr>
        <w:t>cada indicador considerado en la construcción</w:t>
      </w:r>
      <w:r w:rsidR="00942042" w:rsidRPr="00AB26DB">
        <w:rPr>
          <w:rFonts w:ascii="Arial" w:hAnsi="Arial" w:cs="Arial"/>
        </w:rPr>
        <w:t xml:space="preserve"> del índice</w:t>
      </w:r>
      <w:r w:rsidRPr="00AB26DB">
        <w:rPr>
          <w:rFonts w:ascii="Arial" w:hAnsi="Arial" w:cs="Arial"/>
        </w:rPr>
        <w:t xml:space="preserve">, </w:t>
      </w:r>
      <w:r w:rsidR="00942042" w:rsidRPr="00AB26DB">
        <w:rPr>
          <w:rFonts w:ascii="Arial" w:hAnsi="Arial" w:cs="Arial"/>
        </w:rPr>
        <w:t xml:space="preserve">se asignó el </w:t>
      </w:r>
      <w:r w:rsidRPr="00AB26DB">
        <w:rPr>
          <w:rFonts w:ascii="Arial" w:hAnsi="Arial" w:cs="Arial"/>
        </w:rPr>
        <w:t xml:space="preserve">valor 100 al peor resultado observado, y </w:t>
      </w:r>
      <w:r w:rsidR="00942042" w:rsidRPr="00AB26DB">
        <w:rPr>
          <w:rFonts w:ascii="Arial" w:hAnsi="Arial" w:cs="Arial"/>
        </w:rPr>
        <w:t xml:space="preserve">se estimó el resto </w:t>
      </w:r>
      <w:r w:rsidRPr="00AB26DB">
        <w:rPr>
          <w:rFonts w:ascii="Arial" w:hAnsi="Arial" w:cs="Arial"/>
        </w:rPr>
        <w:t xml:space="preserve">de manera proporcional a </w:t>
      </w:r>
      <w:r w:rsidR="00942042" w:rsidRPr="00AB26DB">
        <w:rPr>
          <w:rFonts w:ascii="Arial" w:hAnsi="Arial" w:cs="Arial"/>
        </w:rPr>
        <w:t>aquel</w:t>
      </w:r>
      <w:r w:rsidRPr="00AB26DB">
        <w:rPr>
          <w:rFonts w:ascii="Arial" w:hAnsi="Arial" w:cs="Arial"/>
        </w:rPr>
        <w:t xml:space="preserve">. </w:t>
      </w:r>
      <w:r w:rsidR="00942042" w:rsidRPr="00AB26DB">
        <w:rPr>
          <w:rFonts w:ascii="Arial" w:hAnsi="Arial" w:cs="Arial"/>
        </w:rPr>
        <w:t>Luego se realizó un promedio simple de los indicadores individuales así computados.</w:t>
      </w:r>
    </w:p>
    <w:p w:rsidR="009F65A6" w:rsidRPr="00AB26DB" w:rsidRDefault="009F65A6" w:rsidP="00AB26DB">
      <w:pPr>
        <w:spacing w:after="0" w:line="360" w:lineRule="auto"/>
        <w:jc w:val="both"/>
        <w:rPr>
          <w:rFonts w:ascii="Arial" w:hAnsi="Arial" w:cs="Arial"/>
        </w:rPr>
      </w:pPr>
    </w:p>
    <w:p w:rsidR="0044242D" w:rsidRDefault="00942042" w:rsidP="00AB26DB">
      <w:pPr>
        <w:spacing w:after="0" w:line="360" w:lineRule="auto"/>
        <w:jc w:val="both"/>
        <w:rPr>
          <w:rFonts w:ascii="Arial" w:hAnsi="Arial" w:cs="Arial"/>
        </w:rPr>
      </w:pPr>
      <w:r w:rsidRPr="00AB26DB">
        <w:rPr>
          <w:rFonts w:ascii="Arial" w:hAnsi="Arial" w:cs="Arial"/>
        </w:rPr>
        <w:t xml:space="preserve">Con esta metodología, </w:t>
      </w:r>
      <w:r w:rsidR="00697F9D" w:rsidRPr="00AB26DB">
        <w:rPr>
          <w:rFonts w:ascii="Arial" w:hAnsi="Arial" w:cs="Arial"/>
        </w:rPr>
        <w:t xml:space="preserve">San Luis </w:t>
      </w:r>
      <w:r w:rsidRPr="00AB26DB">
        <w:rPr>
          <w:rFonts w:ascii="Arial" w:hAnsi="Arial" w:cs="Arial"/>
        </w:rPr>
        <w:t xml:space="preserve">y Catamarca </w:t>
      </w:r>
      <w:r w:rsidR="0044242D" w:rsidRPr="00AB26DB">
        <w:rPr>
          <w:rFonts w:ascii="Arial" w:hAnsi="Arial" w:cs="Arial"/>
        </w:rPr>
        <w:t>result</w:t>
      </w:r>
      <w:r w:rsidRPr="00AB26DB">
        <w:rPr>
          <w:rFonts w:ascii="Arial" w:hAnsi="Arial" w:cs="Arial"/>
        </w:rPr>
        <w:t xml:space="preserve">aron </w:t>
      </w:r>
      <w:r w:rsidR="0044242D" w:rsidRPr="00AB26DB">
        <w:rPr>
          <w:rFonts w:ascii="Arial" w:hAnsi="Arial" w:cs="Arial"/>
        </w:rPr>
        <w:t>ser la</w:t>
      </w:r>
      <w:r w:rsidRPr="00AB26DB">
        <w:rPr>
          <w:rFonts w:ascii="Arial" w:hAnsi="Arial" w:cs="Arial"/>
        </w:rPr>
        <w:t>s</w:t>
      </w:r>
      <w:r w:rsidR="0044242D" w:rsidRPr="00AB26DB">
        <w:rPr>
          <w:rFonts w:ascii="Arial" w:hAnsi="Arial" w:cs="Arial"/>
        </w:rPr>
        <w:t xml:space="preserve"> provincia</w:t>
      </w:r>
      <w:r w:rsidRPr="00AB26DB">
        <w:rPr>
          <w:rFonts w:ascii="Arial" w:hAnsi="Arial" w:cs="Arial"/>
        </w:rPr>
        <w:t>s</w:t>
      </w:r>
      <w:r w:rsidR="0044242D" w:rsidRPr="00AB26DB">
        <w:rPr>
          <w:rFonts w:ascii="Arial" w:hAnsi="Arial" w:cs="Arial"/>
        </w:rPr>
        <w:t xml:space="preserve"> con mayor fortaleza fiscal</w:t>
      </w:r>
      <w:r w:rsidRPr="00AB26DB">
        <w:rPr>
          <w:rFonts w:ascii="Arial" w:hAnsi="Arial" w:cs="Arial"/>
        </w:rPr>
        <w:t xml:space="preserve"> en 2017</w:t>
      </w:r>
      <w:r w:rsidR="0044242D" w:rsidRPr="00AB26DB">
        <w:rPr>
          <w:rFonts w:ascii="Arial" w:hAnsi="Arial" w:cs="Arial"/>
        </w:rPr>
        <w:t xml:space="preserve">, </w:t>
      </w:r>
      <w:r w:rsidRPr="00AB26DB">
        <w:rPr>
          <w:rFonts w:ascii="Arial" w:hAnsi="Arial" w:cs="Arial"/>
        </w:rPr>
        <w:t xml:space="preserve">seguidas por Santiago del Estero y San juan. </w:t>
      </w:r>
      <w:r w:rsidR="0044242D" w:rsidRPr="00AB26DB">
        <w:rPr>
          <w:rFonts w:ascii="Arial" w:hAnsi="Arial" w:cs="Arial"/>
        </w:rPr>
        <w:t xml:space="preserve">En </w:t>
      </w:r>
      <w:r w:rsidRPr="00AB26DB">
        <w:rPr>
          <w:rFonts w:ascii="Arial" w:hAnsi="Arial" w:cs="Arial"/>
        </w:rPr>
        <w:t xml:space="preserve">el </w:t>
      </w:r>
      <w:r w:rsidR="0044242D" w:rsidRPr="00AB26DB">
        <w:rPr>
          <w:rFonts w:ascii="Arial" w:hAnsi="Arial" w:cs="Arial"/>
        </w:rPr>
        <w:t>otro extremo se ubic</w:t>
      </w:r>
      <w:r w:rsidRPr="00AB26DB">
        <w:rPr>
          <w:rFonts w:ascii="Arial" w:hAnsi="Arial" w:cs="Arial"/>
        </w:rPr>
        <w:t>ó</w:t>
      </w:r>
      <w:r w:rsidR="0044242D" w:rsidRPr="00AB26DB">
        <w:rPr>
          <w:rFonts w:ascii="Arial" w:hAnsi="Arial" w:cs="Arial"/>
        </w:rPr>
        <w:t xml:space="preserve"> la provincia Chubut, caracterizada como la jurisdicción </w:t>
      </w:r>
      <w:r w:rsidR="00697F9D" w:rsidRPr="00AB26DB">
        <w:rPr>
          <w:rFonts w:ascii="Arial" w:hAnsi="Arial" w:cs="Arial"/>
        </w:rPr>
        <w:t>con menor fortaleza fiscal</w:t>
      </w:r>
      <w:r w:rsidR="0044242D" w:rsidRPr="00AB26DB">
        <w:rPr>
          <w:rFonts w:ascii="Arial" w:hAnsi="Arial" w:cs="Arial"/>
        </w:rPr>
        <w:t>.</w:t>
      </w:r>
    </w:p>
    <w:p w:rsidR="009F65A6" w:rsidRPr="00AB26DB" w:rsidRDefault="009F65A6" w:rsidP="00AB26DB">
      <w:pPr>
        <w:spacing w:after="0" w:line="360" w:lineRule="auto"/>
        <w:jc w:val="both"/>
        <w:rPr>
          <w:rFonts w:ascii="Arial" w:hAnsi="Arial" w:cs="Arial"/>
        </w:rPr>
      </w:pPr>
    </w:p>
    <w:p w:rsidR="0044242D" w:rsidRDefault="0044242D" w:rsidP="00AB26DB">
      <w:pPr>
        <w:spacing w:after="0" w:line="360" w:lineRule="auto"/>
        <w:jc w:val="both"/>
        <w:rPr>
          <w:rFonts w:ascii="Arial" w:hAnsi="Arial" w:cs="Arial"/>
        </w:rPr>
      </w:pPr>
      <w:r w:rsidRPr="00AB26DB">
        <w:rPr>
          <w:rFonts w:ascii="Arial" w:hAnsi="Arial" w:cs="Arial"/>
        </w:rPr>
        <w:t xml:space="preserve">La provincia de </w:t>
      </w:r>
      <w:r w:rsidR="00136FC1" w:rsidRPr="00AB26DB">
        <w:rPr>
          <w:rFonts w:ascii="Arial" w:hAnsi="Arial" w:cs="Arial"/>
        </w:rPr>
        <w:t>Jujuy</w:t>
      </w:r>
      <w:r w:rsidR="00097464">
        <w:rPr>
          <w:rFonts w:ascii="Arial" w:hAnsi="Arial" w:cs="Arial"/>
        </w:rPr>
        <w:t xml:space="preserve"> </w:t>
      </w:r>
      <w:r w:rsidR="00136FC1" w:rsidRPr="00AB26DB">
        <w:rPr>
          <w:rFonts w:ascii="Arial" w:hAnsi="Arial" w:cs="Arial"/>
        </w:rPr>
        <w:t>mejoró</w:t>
      </w:r>
      <w:r w:rsidRPr="00AB26DB">
        <w:rPr>
          <w:rFonts w:ascii="Arial" w:hAnsi="Arial" w:cs="Arial"/>
        </w:rPr>
        <w:t xml:space="preserve"> su posición en el ranking</w:t>
      </w:r>
      <w:r w:rsidR="00942042" w:rsidRPr="00AB26DB">
        <w:rPr>
          <w:rFonts w:ascii="Arial" w:hAnsi="Arial" w:cs="Arial"/>
        </w:rPr>
        <w:t>,</w:t>
      </w:r>
      <w:r w:rsidRPr="00AB26DB">
        <w:rPr>
          <w:rFonts w:ascii="Arial" w:hAnsi="Arial" w:cs="Arial"/>
        </w:rPr>
        <w:t xml:space="preserve"> al comparar los resultados del primer y </w:t>
      </w:r>
      <w:r w:rsidR="00942042" w:rsidRPr="00AB26DB">
        <w:rPr>
          <w:rFonts w:ascii="Arial" w:hAnsi="Arial" w:cs="Arial"/>
        </w:rPr>
        <w:t>segundo</w:t>
      </w:r>
      <w:r w:rsidR="00136FC1" w:rsidRPr="00AB26DB">
        <w:rPr>
          <w:rFonts w:ascii="Arial" w:hAnsi="Arial" w:cs="Arial"/>
        </w:rPr>
        <w:t xml:space="preserve"> índice: pasó del puesto 23</w:t>
      </w:r>
      <w:r w:rsidRPr="00AB26DB">
        <w:rPr>
          <w:rFonts w:ascii="Arial" w:hAnsi="Arial" w:cs="Arial"/>
        </w:rPr>
        <w:t xml:space="preserve"> al 21, respectivamente. Algo similar ocurrió con la provincia de </w:t>
      </w:r>
      <w:r w:rsidR="00136FC1" w:rsidRPr="00AB26DB">
        <w:rPr>
          <w:rFonts w:ascii="Arial" w:hAnsi="Arial" w:cs="Arial"/>
        </w:rPr>
        <w:t>Salta</w:t>
      </w:r>
      <w:r w:rsidR="00942042" w:rsidRPr="00AB26DB">
        <w:rPr>
          <w:rFonts w:ascii="Arial" w:hAnsi="Arial" w:cs="Arial"/>
        </w:rPr>
        <w:t>,</w:t>
      </w:r>
      <w:r w:rsidRPr="00AB26DB">
        <w:rPr>
          <w:rFonts w:ascii="Arial" w:hAnsi="Arial" w:cs="Arial"/>
        </w:rPr>
        <w:t xml:space="preserve"> al pasar del puesto </w:t>
      </w:r>
      <w:r w:rsidR="00136FC1" w:rsidRPr="00AB26DB">
        <w:rPr>
          <w:rFonts w:ascii="Arial" w:hAnsi="Arial" w:cs="Arial"/>
        </w:rPr>
        <w:t>24 en el primer índice al 22</w:t>
      </w:r>
      <w:r w:rsidR="0003170B">
        <w:rPr>
          <w:rFonts w:ascii="Arial" w:hAnsi="Arial" w:cs="Arial"/>
        </w:rPr>
        <w:t xml:space="preserve"> </w:t>
      </w:r>
      <w:r w:rsidR="00942042" w:rsidRPr="00AB26DB">
        <w:rPr>
          <w:rFonts w:ascii="Arial" w:hAnsi="Arial" w:cs="Arial"/>
        </w:rPr>
        <w:t>en el segundo</w:t>
      </w:r>
      <w:r w:rsidR="009F65A6">
        <w:rPr>
          <w:rFonts w:ascii="Arial" w:hAnsi="Arial" w:cs="Arial"/>
        </w:rPr>
        <w:t xml:space="preserve">. </w:t>
      </w:r>
      <w:r w:rsidRPr="00AB26DB">
        <w:rPr>
          <w:rFonts w:ascii="Arial" w:hAnsi="Arial" w:cs="Arial"/>
        </w:rPr>
        <w:t>Lo cont</w:t>
      </w:r>
      <w:r w:rsidR="00B82E07" w:rsidRPr="00AB26DB">
        <w:rPr>
          <w:rFonts w:ascii="Arial" w:hAnsi="Arial" w:cs="Arial"/>
        </w:rPr>
        <w:t xml:space="preserve">rario ocurre </w:t>
      </w:r>
      <w:r w:rsidR="00942042" w:rsidRPr="00AB26DB">
        <w:rPr>
          <w:rFonts w:ascii="Arial" w:hAnsi="Arial" w:cs="Arial"/>
        </w:rPr>
        <w:t>con</w:t>
      </w:r>
      <w:r w:rsidR="00B82E07" w:rsidRPr="00AB26DB">
        <w:rPr>
          <w:rFonts w:ascii="Arial" w:hAnsi="Arial" w:cs="Arial"/>
        </w:rPr>
        <w:t xml:space="preserve"> la provincia de Buenos Aires</w:t>
      </w:r>
      <w:r w:rsidRPr="00AB26DB">
        <w:rPr>
          <w:rFonts w:ascii="Arial" w:hAnsi="Arial" w:cs="Arial"/>
        </w:rPr>
        <w:t xml:space="preserve">, quien </w:t>
      </w:r>
      <w:r w:rsidR="00B82E07" w:rsidRPr="00AB26DB">
        <w:rPr>
          <w:rFonts w:ascii="Arial" w:hAnsi="Arial" w:cs="Arial"/>
        </w:rPr>
        <w:t>empeoró</w:t>
      </w:r>
      <w:r w:rsidRPr="00AB26DB">
        <w:rPr>
          <w:rFonts w:ascii="Arial" w:hAnsi="Arial" w:cs="Arial"/>
        </w:rPr>
        <w:t xml:space="preserve"> su posición respecto al primer índice</w:t>
      </w:r>
      <w:r w:rsidR="00942042" w:rsidRPr="00AB26DB">
        <w:rPr>
          <w:rFonts w:ascii="Arial" w:hAnsi="Arial" w:cs="Arial"/>
        </w:rPr>
        <w:t>,</w:t>
      </w:r>
      <w:r w:rsidRPr="00AB26DB">
        <w:rPr>
          <w:rFonts w:ascii="Arial" w:hAnsi="Arial" w:cs="Arial"/>
        </w:rPr>
        <w:t xml:space="preserve"> pasando de ocupar el </w:t>
      </w:r>
      <w:r w:rsidR="00B82E07" w:rsidRPr="00AB26DB">
        <w:rPr>
          <w:rFonts w:ascii="Arial" w:hAnsi="Arial" w:cs="Arial"/>
        </w:rPr>
        <w:t>puesto 20</w:t>
      </w:r>
      <w:r w:rsidRPr="00AB26DB">
        <w:rPr>
          <w:rFonts w:ascii="Arial" w:hAnsi="Arial" w:cs="Arial"/>
        </w:rPr>
        <w:t xml:space="preserve"> a ocupar el </w:t>
      </w:r>
      <w:r w:rsidR="00B82E07" w:rsidRPr="00AB26DB">
        <w:rPr>
          <w:rFonts w:ascii="Arial" w:hAnsi="Arial" w:cs="Arial"/>
        </w:rPr>
        <w:t>23</w:t>
      </w:r>
      <w:r w:rsidR="0003170B">
        <w:rPr>
          <w:rFonts w:ascii="Arial" w:hAnsi="Arial" w:cs="Arial"/>
        </w:rPr>
        <w:t xml:space="preserve"> </w:t>
      </w:r>
      <w:r w:rsidR="00942042" w:rsidRPr="00AB26DB">
        <w:rPr>
          <w:rFonts w:ascii="Arial" w:hAnsi="Arial" w:cs="Arial"/>
        </w:rPr>
        <w:t>en esta última versión</w:t>
      </w:r>
      <w:r w:rsidRPr="00AB26DB">
        <w:rPr>
          <w:rFonts w:ascii="Arial" w:hAnsi="Arial" w:cs="Arial"/>
        </w:rPr>
        <w:t>.</w:t>
      </w:r>
      <w:r w:rsidR="00942042" w:rsidRPr="00AB26DB">
        <w:rPr>
          <w:rFonts w:ascii="Arial" w:hAnsi="Arial" w:cs="Arial"/>
        </w:rPr>
        <w:t xml:space="preserve"> No obstante, vale aclarar que tras los cambios en la distribución de transferencias </w:t>
      </w:r>
      <w:r w:rsidR="00C4722F" w:rsidRPr="00AB26DB">
        <w:rPr>
          <w:rFonts w:ascii="Arial" w:hAnsi="Arial" w:cs="Arial"/>
        </w:rPr>
        <w:t>aprobados con el “Consenso Fiscal” de noviembre de 2017, muy probablemente Buenos Aires mejore su posición en el ranking en los próximos años.</w:t>
      </w:r>
    </w:p>
    <w:p w:rsidR="0084386F" w:rsidRPr="00AB26DB" w:rsidRDefault="0084386F" w:rsidP="00AB26DB">
      <w:pPr>
        <w:spacing w:after="0" w:line="360" w:lineRule="auto"/>
        <w:jc w:val="both"/>
        <w:rPr>
          <w:rFonts w:ascii="Arial" w:hAnsi="Arial" w:cs="Arial"/>
        </w:rPr>
      </w:pPr>
    </w:p>
    <w:p w:rsidR="000978A2" w:rsidRPr="00B877AE" w:rsidRDefault="00EC134E" w:rsidP="00B877AE">
      <w:pPr>
        <w:spacing w:after="0" w:line="240" w:lineRule="auto"/>
        <w:jc w:val="center"/>
        <w:rPr>
          <w:rFonts w:ascii="Arial" w:hAnsi="Arial" w:cs="Arial"/>
        </w:rPr>
      </w:pPr>
      <w:r w:rsidRPr="00AB26DB">
        <w:rPr>
          <w:rFonts w:ascii="Arial" w:hAnsi="Arial" w:cs="Arial"/>
          <w:b/>
        </w:rPr>
        <w:t>Índice de Fortaleza Fiscal</w:t>
      </w:r>
      <w:r w:rsidRPr="00AB26DB">
        <w:rPr>
          <w:rFonts w:ascii="Arial" w:hAnsi="Arial" w:cs="Arial"/>
        </w:rPr>
        <w:br/>
        <w:t>Promedio simple, considerando diferencias relativas (IFF2) – Por provincia</w:t>
      </w:r>
      <w:r w:rsidR="00B877AE">
        <w:rPr>
          <w:rFonts w:ascii="Arial" w:hAnsi="Arial" w:cs="Arial"/>
        </w:rPr>
        <w:br/>
      </w:r>
    </w:p>
    <w:p w:rsidR="00EC134E" w:rsidRDefault="00B877AE">
      <w:pPr>
        <w:rPr>
          <w:rFonts w:ascii="Times New Roman" w:hAnsi="Times New Roman" w:cs="Times New Roman"/>
          <w:b/>
          <w:sz w:val="24"/>
          <w:szCs w:val="24"/>
        </w:rPr>
      </w:pPr>
      <w:r w:rsidRPr="00B877AE">
        <w:rPr>
          <w:noProof/>
          <w:szCs w:val="24"/>
        </w:rPr>
        <w:drawing>
          <wp:inline distT="0" distB="0" distL="0" distR="0">
            <wp:extent cx="5759450" cy="2549834"/>
            <wp:effectExtent l="19050" t="0" r="0" b="0"/>
            <wp:docPr id="6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srcRect/>
                    <a:stretch>
                      <a:fillRect/>
                    </a:stretch>
                  </pic:blipFill>
                  <pic:spPr bwMode="auto">
                    <a:xfrm>
                      <a:off x="0" y="0"/>
                      <a:ext cx="5759450" cy="2549834"/>
                    </a:xfrm>
                    <a:prstGeom prst="rect">
                      <a:avLst/>
                    </a:prstGeom>
                    <a:noFill/>
                    <a:ln w="9525">
                      <a:noFill/>
                      <a:miter lim="800000"/>
                      <a:headEnd/>
                      <a:tailEnd/>
                    </a:ln>
                  </pic:spPr>
                </pic:pic>
              </a:graphicData>
            </a:graphic>
          </wp:inline>
        </w:drawing>
      </w:r>
    </w:p>
    <w:p w:rsidR="00EC134E" w:rsidRPr="00AB26DB" w:rsidRDefault="00EC134E" w:rsidP="00285844">
      <w:pPr>
        <w:spacing w:line="240" w:lineRule="auto"/>
        <w:jc w:val="center"/>
        <w:rPr>
          <w:rFonts w:ascii="Arial" w:hAnsi="Arial" w:cs="Arial"/>
          <w:i/>
          <w:sz w:val="18"/>
          <w:szCs w:val="18"/>
        </w:rPr>
      </w:pPr>
      <w:r w:rsidRPr="00AB26DB">
        <w:rPr>
          <w:rFonts w:ascii="Arial" w:hAnsi="Arial" w:cs="Arial"/>
          <w:i/>
          <w:sz w:val="18"/>
          <w:szCs w:val="18"/>
        </w:rPr>
        <w:t>Elaboración propia en base a fuentes oficiales del gobierno de cada provinc</w:t>
      </w:r>
      <w:r w:rsidR="0003170B">
        <w:rPr>
          <w:rFonts w:ascii="Arial" w:hAnsi="Arial" w:cs="Arial"/>
          <w:i/>
          <w:sz w:val="18"/>
          <w:szCs w:val="18"/>
        </w:rPr>
        <w:t>ia y al Ministerio del Interior.</w:t>
      </w:r>
      <w:r w:rsidRPr="00AB26DB">
        <w:rPr>
          <w:rFonts w:ascii="Arial" w:hAnsi="Arial" w:cs="Arial"/>
          <w:i/>
          <w:sz w:val="18"/>
          <w:szCs w:val="18"/>
        </w:rPr>
        <w:t xml:space="preserve"> IC: ingresos corrientes; GT: gasto total; GC: gasto</w:t>
      </w:r>
      <w:r w:rsidR="0003170B">
        <w:rPr>
          <w:rFonts w:ascii="Arial" w:hAnsi="Arial" w:cs="Arial"/>
          <w:i/>
          <w:sz w:val="18"/>
          <w:szCs w:val="18"/>
        </w:rPr>
        <w:t>s</w:t>
      </w:r>
      <w:r w:rsidRPr="00AB26DB">
        <w:rPr>
          <w:rFonts w:ascii="Arial" w:hAnsi="Arial" w:cs="Arial"/>
          <w:i/>
          <w:sz w:val="18"/>
          <w:szCs w:val="18"/>
        </w:rPr>
        <w:t xml:space="preserve"> corrientes; SS: servicios de la deuda; </w:t>
      </w:r>
      <w:r w:rsidR="0003170B">
        <w:rPr>
          <w:rFonts w:ascii="Arial" w:hAnsi="Arial" w:cs="Arial"/>
          <w:i/>
          <w:sz w:val="18"/>
          <w:szCs w:val="18"/>
        </w:rPr>
        <w:t xml:space="preserve">ICN: ingresos corrientes netos. </w:t>
      </w:r>
    </w:p>
    <w:p w:rsidR="00285844" w:rsidRDefault="00285844" w:rsidP="00285844">
      <w:pPr>
        <w:spacing w:line="240" w:lineRule="auto"/>
        <w:jc w:val="center"/>
        <w:rPr>
          <w:rFonts w:ascii="Times New Roman" w:hAnsi="Times New Roman" w:cs="Times New Roman"/>
          <w:i/>
          <w:sz w:val="18"/>
          <w:szCs w:val="18"/>
        </w:rPr>
      </w:pPr>
    </w:p>
    <w:p w:rsidR="00285844" w:rsidRDefault="00285844" w:rsidP="00285844">
      <w:pPr>
        <w:spacing w:line="240" w:lineRule="auto"/>
        <w:jc w:val="center"/>
        <w:rPr>
          <w:rFonts w:ascii="Times New Roman" w:hAnsi="Times New Roman" w:cs="Times New Roman"/>
          <w:i/>
          <w:sz w:val="18"/>
          <w:szCs w:val="18"/>
        </w:rPr>
      </w:pPr>
    </w:p>
    <w:p w:rsidR="00285844" w:rsidRDefault="00285844" w:rsidP="00285844">
      <w:pPr>
        <w:spacing w:line="240" w:lineRule="auto"/>
        <w:jc w:val="center"/>
        <w:rPr>
          <w:rFonts w:ascii="Times New Roman" w:hAnsi="Times New Roman" w:cs="Times New Roman"/>
          <w:i/>
          <w:sz w:val="18"/>
          <w:szCs w:val="18"/>
        </w:rPr>
      </w:pPr>
    </w:p>
    <w:p w:rsidR="00285844" w:rsidRDefault="00285844" w:rsidP="00285844">
      <w:pPr>
        <w:spacing w:line="240" w:lineRule="auto"/>
        <w:jc w:val="center"/>
        <w:rPr>
          <w:rFonts w:ascii="Times New Roman" w:hAnsi="Times New Roman" w:cs="Times New Roman"/>
          <w:i/>
          <w:sz w:val="18"/>
          <w:szCs w:val="18"/>
        </w:rPr>
      </w:pPr>
    </w:p>
    <w:p w:rsidR="00285844" w:rsidRDefault="00285844" w:rsidP="00285844">
      <w:pPr>
        <w:spacing w:line="240" w:lineRule="auto"/>
        <w:jc w:val="center"/>
        <w:rPr>
          <w:rFonts w:ascii="Times New Roman" w:hAnsi="Times New Roman" w:cs="Times New Roman"/>
          <w:i/>
          <w:sz w:val="18"/>
          <w:szCs w:val="18"/>
        </w:rPr>
      </w:pPr>
    </w:p>
    <w:p w:rsidR="00285844" w:rsidRDefault="00285844" w:rsidP="00285844">
      <w:pPr>
        <w:spacing w:line="240" w:lineRule="auto"/>
        <w:jc w:val="center"/>
        <w:rPr>
          <w:rFonts w:ascii="Times New Roman" w:hAnsi="Times New Roman" w:cs="Times New Roman"/>
          <w:i/>
          <w:sz w:val="18"/>
          <w:szCs w:val="18"/>
        </w:rPr>
      </w:pPr>
    </w:p>
    <w:p w:rsidR="00285844" w:rsidRDefault="00285844" w:rsidP="00285844">
      <w:pPr>
        <w:spacing w:line="240" w:lineRule="auto"/>
        <w:jc w:val="center"/>
        <w:rPr>
          <w:rFonts w:ascii="Times New Roman" w:hAnsi="Times New Roman" w:cs="Times New Roman"/>
          <w:i/>
          <w:sz w:val="18"/>
          <w:szCs w:val="18"/>
        </w:rPr>
      </w:pPr>
    </w:p>
    <w:p w:rsidR="00285844" w:rsidRPr="00285844" w:rsidRDefault="00285844" w:rsidP="00752303">
      <w:pPr>
        <w:spacing w:line="240" w:lineRule="auto"/>
        <w:rPr>
          <w:rFonts w:ascii="Times New Roman" w:hAnsi="Times New Roman" w:cs="Times New Roman"/>
          <w:i/>
          <w:sz w:val="18"/>
          <w:szCs w:val="18"/>
        </w:rPr>
      </w:pPr>
    </w:p>
    <w:p w:rsidR="0044242D" w:rsidRPr="00AB26DB" w:rsidRDefault="0044242D" w:rsidP="00490E0C">
      <w:pPr>
        <w:spacing w:after="0" w:line="240" w:lineRule="auto"/>
        <w:jc w:val="center"/>
        <w:rPr>
          <w:rFonts w:ascii="Arial" w:hAnsi="Arial" w:cs="Arial"/>
        </w:rPr>
      </w:pPr>
      <w:r w:rsidRPr="00AB26DB">
        <w:rPr>
          <w:rFonts w:ascii="Arial" w:hAnsi="Arial" w:cs="Arial"/>
          <w:b/>
        </w:rPr>
        <w:t>Índice de Fortaleza Fiscal</w:t>
      </w:r>
      <w:r w:rsidR="000D2976" w:rsidRPr="00AB26DB">
        <w:rPr>
          <w:rFonts w:ascii="Arial" w:hAnsi="Arial" w:cs="Arial"/>
        </w:rPr>
        <w:br/>
      </w:r>
      <w:r w:rsidRPr="00AB26DB">
        <w:rPr>
          <w:rFonts w:ascii="Arial" w:hAnsi="Arial" w:cs="Arial"/>
        </w:rPr>
        <w:t>Promedio simple, considerando diferencias relativas</w:t>
      </w:r>
      <w:r w:rsidR="00EA7541" w:rsidRPr="00AB26DB">
        <w:rPr>
          <w:rFonts w:ascii="Arial" w:hAnsi="Arial" w:cs="Arial"/>
        </w:rPr>
        <w:t xml:space="preserve"> (IFF</w:t>
      </w:r>
      <w:r w:rsidR="00DD3EBF" w:rsidRPr="00AB26DB">
        <w:rPr>
          <w:rFonts w:ascii="Arial" w:hAnsi="Arial" w:cs="Arial"/>
        </w:rPr>
        <w:t>2</w:t>
      </w:r>
      <w:r w:rsidR="000978A2" w:rsidRPr="00AB26DB">
        <w:rPr>
          <w:rFonts w:ascii="Arial" w:hAnsi="Arial" w:cs="Arial"/>
        </w:rPr>
        <w:t>)</w:t>
      </w:r>
      <w:r w:rsidR="00EC134E" w:rsidRPr="00AB26DB">
        <w:rPr>
          <w:rFonts w:ascii="Arial" w:hAnsi="Arial" w:cs="Arial"/>
        </w:rPr>
        <w:t xml:space="preserve"> – Por provincia</w:t>
      </w: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40"/>
        <w:gridCol w:w="5102"/>
        <w:gridCol w:w="244"/>
      </w:tblGrid>
      <w:tr w:rsidR="0044242D" w:rsidRPr="00AB26DB" w:rsidTr="000D2976">
        <w:trPr>
          <w:jc w:val="center"/>
        </w:trPr>
        <w:tc>
          <w:tcPr>
            <w:tcW w:w="4074" w:type="dxa"/>
          </w:tcPr>
          <w:p w:rsidR="007F1C46" w:rsidRPr="00AB26DB" w:rsidRDefault="007F1C46" w:rsidP="007F1C46">
            <w:pPr>
              <w:pStyle w:val="Epgrafe"/>
              <w:keepNext/>
              <w:rPr>
                <w:rFonts w:ascii="Arial" w:hAnsi="Arial" w:cs="Arial"/>
              </w:rPr>
            </w:pPr>
          </w:p>
          <w:tbl>
            <w:tblPr>
              <w:tblW w:w="3366" w:type="dxa"/>
              <w:tblCellMar>
                <w:left w:w="70" w:type="dxa"/>
                <w:right w:w="70" w:type="dxa"/>
              </w:tblCellMar>
              <w:tblLook w:val="04A0" w:firstRow="1" w:lastRow="0" w:firstColumn="1" w:lastColumn="0" w:noHBand="0" w:noVBand="1"/>
            </w:tblPr>
            <w:tblGrid>
              <w:gridCol w:w="2139"/>
              <w:gridCol w:w="1227"/>
            </w:tblGrid>
            <w:tr w:rsidR="00435AE3" w:rsidRPr="00AB26DB" w:rsidTr="00AB26DB">
              <w:trPr>
                <w:trHeight w:val="255"/>
              </w:trPr>
              <w:tc>
                <w:tcPr>
                  <w:tcW w:w="2139" w:type="dxa"/>
                  <w:tcBorders>
                    <w:top w:val="single" w:sz="4" w:space="0" w:color="auto"/>
                    <w:left w:val="single" w:sz="4" w:space="0" w:color="auto"/>
                    <w:bottom w:val="single" w:sz="4" w:space="0" w:color="FFFFFF"/>
                    <w:right w:val="single" w:sz="4" w:space="0" w:color="FFFFFF"/>
                  </w:tcBorders>
                  <w:shd w:val="clear" w:color="000000" w:fill="002060"/>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Provincia</w:t>
                  </w:r>
                </w:p>
              </w:tc>
              <w:tc>
                <w:tcPr>
                  <w:tcW w:w="1227" w:type="dxa"/>
                  <w:tcBorders>
                    <w:top w:val="single" w:sz="4" w:space="0" w:color="auto"/>
                    <w:left w:val="nil"/>
                    <w:bottom w:val="single" w:sz="4" w:space="0" w:color="FFFFFF"/>
                    <w:right w:val="single" w:sz="4" w:space="0" w:color="auto"/>
                  </w:tcBorders>
                  <w:shd w:val="clear" w:color="000000" w:fill="002060"/>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ÍNDICE</w:t>
                  </w:r>
                </w:p>
              </w:tc>
            </w:tr>
            <w:tr w:rsidR="00435AE3" w:rsidRPr="00AB26DB" w:rsidTr="00AB26DB">
              <w:trPr>
                <w:trHeight w:val="255"/>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Catamarca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29</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San Luis</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29</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Santiago del Estero</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32</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San Juan</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33</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Corrientes</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36</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Formosa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38</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Santa Fe</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43</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La Pampa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44</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Tucumán</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45</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Chaco</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46</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Córdoba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48</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Misiones</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49</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Entre Ríos</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50</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Tierra del Fuego</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51</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Santa Cruz</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51</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Río Negro</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53</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CABA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55</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Neuquén</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57</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Mendoza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57</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Salta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58</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Jujuy</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59</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La Rioja</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60</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Buenos Aires</w:t>
                  </w:r>
                </w:p>
              </w:tc>
              <w:tc>
                <w:tcPr>
                  <w:tcW w:w="1227" w:type="dxa"/>
                  <w:tcBorders>
                    <w:top w:val="nil"/>
                    <w:left w:val="nil"/>
                    <w:bottom w:val="nil"/>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62</w:t>
                  </w:r>
                </w:p>
              </w:tc>
            </w:tr>
            <w:tr w:rsidR="00435AE3" w:rsidRPr="00AB26DB" w:rsidTr="00AB26DB">
              <w:trPr>
                <w:trHeight w:val="255"/>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435AE3" w:rsidRPr="00AB26DB" w:rsidRDefault="00435AE3" w:rsidP="00435AE3">
                  <w:pPr>
                    <w:spacing w:after="0" w:line="240" w:lineRule="auto"/>
                    <w:rPr>
                      <w:rFonts w:ascii="Arial" w:eastAsia="Times New Roman" w:hAnsi="Arial" w:cs="Arial"/>
                      <w:color w:val="000000"/>
                    </w:rPr>
                  </w:pPr>
                  <w:r w:rsidRPr="00AB26DB">
                    <w:rPr>
                      <w:rFonts w:ascii="Arial" w:eastAsia="Times New Roman" w:hAnsi="Arial" w:cs="Arial"/>
                      <w:color w:val="000000"/>
                    </w:rPr>
                    <w:t>Chubut</w:t>
                  </w:r>
                </w:p>
              </w:tc>
              <w:tc>
                <w:tcPr>
                  <w:tcW w:w="1227" w:type="dxa"/>
                  <w:tcBorders>
                    <w:top w:val="nil"/>
                    <w:left w:val="nil"/>
                    <w:bottom w:val="single" w:sz="4" w:space="0" w:color="auto"/>
                    <w:right w:val="single" w:sz="4" w:space="0" w:color="auto"/>
                  </w:tcBorders>
                  <w:shd w:val="clear" w:color="000000" w:fill="8EAADC"/>
                  <w:noWrap/>
                  <w:vAlign w:val="center"/>
                  <w:hideMark/>
                </w:tcPr>
                <w:p w:rsidR="00435AE3" w:rsidRPr="00AB26DB" w:rsidRDefault="00435AE3" w:rsidP="00435AE3">
                  <w:pPr>
                    <w:spacing w:after="0" w:line="240" w:lineRule="auto"/>
                    <w:jc w:val="center"/>
                    <w:rPr>
                      <w:rFonts w:ascii="Arial" w:eastAsia="Times New Roman" w:hAnsi="Arial" w:cs="Arial"/>
                      <w:b/>
                      <w:bCs/>
                      <w:color w:val="FFFFFF"/>
                    </w:rPr>
                  </w:pPr>
                  <w:r w:rsidRPr="00AB26DB">
                    <w:rPr>
                      <w:rFonts w:ascii="Arial" w:eastAsia="Times New Roman" w:hAnsi="Arial" w:cs="Arial"/>
                      <w:b/>
                      <w:bCs/>
                      <w:color w:val="FFFFFF"/>
                    </w:rPr>
                    <w:t>70</w:t>
                  </w:r>
                </w:p>
              </w:tc>
            </w:tr>
          </w:tbl>
          <w:p w:rsidR="0044242D" w:rsidRPr="00AB26DB" w:rsidRDefault="0044242D" w:rsidP="00490E0C">
            <w:pPr>
              <w:jc w:val="both"/>
              <w:rPr>
                <w:rFonts w:ascii="Arial" w:hAnsi="Arial" w:cs="Arial"/>
                <w:sz w:val="18"/>
                <w:szCs w:val="18"/>
              </w:rPr>
            </w:pPr>
          </w:p>
        </w:tc>
        <w:tc>
          <w:tcPr>
            <w:tcW w:w="5496" w:type="dxa"/>
            <w:gridSpan w:val="2"/>
          </w:tcPr>
          <w:p w:rsidR="0044242D" w:rsidRPr="00AB26DB" w:rsidRDefault="00DD2AF7" w:rsidP="0044242D">
            <w:pPr>
              <w:spacing w:line="480" w:lineRule="auto"/>
              <w:jc w:val="both"/>
              <w:rPr>
                <w:rFonts w:ascii="Arial" w:hAnsi="Arial" w:cs="Arial"/>
                <w:sz w:val="18"/>
                <w:szCs w:val="18"/>
              </w:rPr>
            </w:pPr>
            <w:r>
              <w:rPr>
                <w:rFonts w:ascii="Arial" w:hAnsi="Arial" w:cs="Arial"/>
                <w:noProof/>
                <w:sz w:val="18"/>
                <w:szCs w:val="18"/>
              </w:rPr>
              <w:drawing>
                <wp:inline distT="0" distB="0" distL="0" distR="0">
                  <wp:extent cx="2981325" cy="4184018"/>
                  <wp:effectExtent l="19050" t="0" r="9525" b="0"/>
                  <wp:docPr id="6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srcRect/>
                          <a:stretch>
                            <a:fillRect/>
                          </a:stretch>
                        </pic:blipFill>
                        <pic:spPr bwMode="auto">
                          <a:xfrm>
                            <a:off x="0" y="0"/>
                            <a:ext cx="2983224" cy="4186683"/>
                          </a:xfrm>
                          <a:prstGeom prst="rect">
                            <a:avLst/>
                          </a:prstGeom>
                          <a:noFill/>
                          <a:ln w="9525">
                            <a:noFill/>
                            <a:miter lim="800000"/>
                            <a:headEnd/>
                            <a:tailEnd/>
                          </a:ln>
                        </pic:spPr>
                      </pic:pic>
                    </a:graphicData>
                  </a:graphic>
                </wp:inline>
              </w:drawing>
            </w:r>
          </w:p>
        </w:tc>
      </w:tr>
      <w:tr w:rsidR="0044242D" w:rsidRPr="0044242D" w:rsidTr="000D2976">
        <w:trPr>
          <w:jc w:val="center"/>
        </w:trPr>
        <w:tc>
          <w:tcPr>
            <w:tcW w:w="9322" w:type="dxa"/>
            <w:gridSpan w:val="2"/>
          </w:tcPr>
          <w:p w:rsidR="0044242D" w:rsidRPr="0003170B" w:rsidRDefault="00076B62" w:rsidP="0003170B">
            <w:pPr>
              <w:spacing w:line="480" w:lineRule="auto"/>
              <w:jc w:val="center"/>
              <w:rPr>
                <w:rFonts w:ascii="Arial" w:hAnsi="Arial" w:cs="Arial"/>
                <w:sz w:val="18"/>
                <w:szCs w:val="18"/>
              </w:rPr>
            </w:pPr>
            <w:r w:rsidRPr="0003170B">
              <w:rPr>
                <w:rFonts w:ascii="Arial" w:hAnsi="Arial" w:cs="Arial"/>
                <w:i/>
                <w:sz w:val="18"/>
                <w:szCs w:val="18"/>
              </w:rPr>
              <w:t>Elaboración propia</w:t>
            </w:r>
            <w:r w:rsidR="0044242D" w:rsidRPr="0003170B">
              <w:rPr>
                <w:rFonts w:ascii="Arial" w:hAnsi="Arial" w:cs="Arial"/>
                <w:i/>
                <w:sz w:val="18"/>
                <w:szCs w:val="18"/>
              </w:rPr>
              <w:t xml:space="preserve"> en base a fuentes oficiales del gobierno de cad</w:t>
            </w:r>
            <w:r w:rsidR="000D2976" w:rsidRPr="0003170B">
              <w:rPr>
                <w:rFonts w:ascii="Arial" w:hAnsi="Arial" w:cs="Arial"/>
                <w:i/>
                <w:sz w:val="18"/>
                <w:szCs w:val="18"/>
              </w:rPr>
              <w:t xml:space="preserve">a provincia y al Ministerio del </w:t>
            </w:r>
            <w:r w:rsidR="0044242D" w:rsidRPr="0003170B">
              <w:rPr>
                <w:rFonts w:ascii="Arial" w:hAnsi="Arial" w:cs="Arial"/>
                <w:i/>
                <w:sz w:val="18"/>
                <w:szCs w:val="18"/>
              </w:rPr>
              <w:t>Interior.</w:t>
            </w:r>
          </w:p>
        </w:tc>
        <w:tc>
          <w:tcPr>
            <w:tcW w:w="248" w:type="dxa"/>
          </w:tcPr>
          <w:p w:rsidR="0044242D" w:rsidRPr="0044242D" w:rsidRDefault="0044242D" w:rsidP="0044242D">
            <w:pPr>
              <w:spacing w:line="480" w:lineRule="auto"/>
              <w:jc w:val="both"/>
              <w:rPr>
                <w:rFonts w:ascii="Times New Roman" w:hAnsi="Times New Roman" w:cs="Times New Roman"/>
                <w:sz w:val="24"/>
                <w:szCs w:val="24"/>
              </w:rPr>
            </w:pPr>
          </w:p>
        </w:tc>
      </w:tr>
    </w:tbl>
    <w:p w:rsidR="00EC134E" w:rsidRPr="0044242D" w:rsidRDefault="00EC134E" w:rsidP="00EC134E">
      <w:pPr>
        <w:spacing w:after="0" w:line="240" w:lineRule="auto"/>
        <w:jc w:val="center"/>
        <w:rPr>
          <w:rFonts w:ascii="Times New Roman" w:hAnsi="Times New Roman" w:cs="Times New Roman"/>
          <w:sz w:val="24"/>
          <w:szCs w:val="24"/>
        </w:rPr>
      </w:pPr>
    </w:p>
    <w:p w:rsidR="0044242D" w:rsidRPr="00AB26DB" w:rsidRDefault="00C4722F" w:rsidP="00752303">
      <w:pPr>
        <w:spacing w:after="0" w:line="360" w:lineRule="auto"/>
        <w:jc w:val="both"/>
        <w:rPr>
          <w:rFonts w:ascii="Arial" w:hAnsi="Arial" w:cs="Arial"/>
        </w:rPr>
      </w:pPr>
      <w:r w:rsidRPr="00AB26DB">
        <w:rPr>
          <w:rFonts w:ascii="Arial" w:hAnsi="Arial" w:cs="Arial"/>
        </w:rPr>
        <w:t xml:space="preserve">Resumiendo los resultados de ambas mediciones, puede decirse que </w:t>
      </w:r>
      <w:r w:rsidR="00E425A1" w:rsidRPr="00AB26DB">
        <w:rPr>
          <w:rFonts w:ascii="Arial" w:hAnsi="Arial" w:cs="Arial"/>
        </w:rPr>
        <w:t>la</w:t>
      </w:r>
      <w:r w:rsidRPr="00AB26DB">
        <w:rPr>
          <w:rFonts w:ascii="Arial" w:hAnsi="Arial" w:cs="Arial"/>
        </w:rPr>
        <w:t>s</w:t>
      </w:r>
      <w:r w:rsidR="00E425A1" w:rsidRPr="00AB26DB">
        <w:rPr>
          <w:rFonts w:ascii="Arial" w:hAnsi="Arial" w:cs="Arial"/>
        </w:rPr>
        <w:t xml:space="preserve"> provincia</w:t>
      </w:r>
      <w:r w:rsidRPr="00AB26DB">
        <w:rPr>
          <w:rFonts w:ascii="Arial" w:hAnsi="Arial" w:cs="Arial"/>
        </w:rPr>
        <w:t>s</w:t>
      </w:r>
      <w:r w:rsidR="00E425A1" w:rsidRPr="00AB26DB">
        <w:rPr>
          <w:rFonts w:ascii="Arial" w:hAnsi="Arial" w:cs="Arial"/>
        </w:rPr>
        <w:t xml:space="preserve"> de Salta, Jujuy, </w:t>
      </w:r>
      <w:r w:rsidR="0044242D" w:rsidRPr="00AB26DB">
        <w:rPr>
          <w:rFonts w:ascii="Arial" w:hAnsi="Arial" w:cs="Arial"/>
        </w:rPr>
        <w:t>Chubut</w:t>
      </w:r>
      <w:r w:rsidR="00E425A1" w:rsidRPr="00AB26DB">
        <w:rPr>
          <w:rFonts w:ascii="Arial" w:hAnsi="Arial" w:cs="Arial"/>
        </w:rPr>
        <w:t xml:space="preserve"> y Neuquén</w:t>
      </w:r>
      <w:r w:rsidR="0044242D" w:rsidRPr="00AB26DB">
        <w:rPr>
          <w:rFonts w:ascii="Arial" w:hAnsi="Arial" w:cs="Arial"/>
        </w:rPr>
        <w:t xml:space="preserve"> se encontraron en </w:t>
      </w:r>
      <w:r w:rsidRPr="00AB26DB">
        <w:rPr>
          <w:rFonts w:ascii="Arial" w:hAnsi="Arial" w:cs="Arial"/>
        </w:rPr>
        <w:t xml:space="preserve">las dos versiones en IFF </w:t>
      </w:r>
      <w:r w:rsidR="0044242D" w:rsidRPr="00AB26DB">
        <w:rPr>
          <w:rFonts w:ascii="Arial" w:hAnsi="Arial" w:cs="Arial"/>
        </w:rPr>
        <w:t xml:space="preserve">entre las </w:t>
      </w:r>
      <w:r w:rsidR="00E425A1" w:rsidRPr="00AB26DB">
        <w:rPr>
          <w:rFonts w:ascii="Arial" w:hAnsi="Arial" w:cs="Arial"/>
        </w:rPr>
        <w:t xml:space="preserve">cinco </w:t>
      </w:r>
      <w:r w:rsidRPr="00AB26DB">
        <w:rPr>
          <w:rFonts w:ascii="Arial" w:hAnsi="Arial" w:cs="Arial"/>
        </w:rPr>
        <w:t xml:space="preserve">jurisdicciones </w:t>
      </w:r>
      <w:r w:rsidR="00A13B3B" w:rsidRPr="00AB26DB">
        <w:rPr>
          <w:rFonts w:ascii="Arial" w:hAnsi="Arial" w:cs="Arial"/>
        </w:rPr>
        <w:t xml:space="preserve">de </w:t>
      </w:r>
      <w:r w:rsidRPr="00AB26DB">
        <w:rPr>
          <w:rFonts w:ascii="Arial" w:hAnsi="Arial" w:cs="Arial"/>
        </w:rPr>
        <w:t xml:space="preserve">menor fortaleza fiscal. En el otro extremo, siempre San Luis, Catamarca, Santiago del Estero, San Juan y Corrientes se ubican entre las cinco provincias mejor posicionadas. Entre las jurisdicciones más pobladas, Santa Fe y Córdoba se ubican en mejor posición que Mendoza y Buenos Aires, con CABA como un caso intermedio. </w:t>
      </w:r>
    </w:p>
    <w:p w:rsidR="0044242D" w:rsidRPr="009227A9" w:rsidRDefault="0044242D" w:rsidP="009227A9">
      <w:pPr>
        <w:spacing w:line="480" w:lineRule="auto"/>
        <w:jc w:val="both"/>
        <w:rPr>
          <w:rFonts w:ascii="Times New Roman" w:hAnsi="Times New Roman" w:cs="Times New Roman"/>
          <w:sz w:val="24"/>
          <w:szCs w:val="24"/>
        </w:rPr>
      </w:pPr>
    </w:p>
    <w:p w:rsidR="00490E0C" w:rsidRPr="0044242D" w:rsidRDefault="00490E0C" w:rsidP="00490E0C">
      <w:pPr>
        <w:pStyle w:val="Prrafodelista"/>
        <w:spacing w:line="480" w:lineRule="auto"/>
        <w:jc w:val="both"/>
        <w:rPr>
          <w:rFonts w:ascii="Times New Roman" w:hAnsi="Times New Roman" w:cs="Times New Roman"/>
          <w:sz w:val="24"/>
          <w:szCs w:val="24"/>
        </w:rPr>
      </w:pPr>
    </w:p>
    <w:p w:rsidR="009227A9" w:rsidRDefault="009227A9">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44242D" w:rsidRPr="000E4173" w:rsidRDefault="00BC0FC6" w:rsidP="00490E0C">
      <w:pPr>
        <w:pStyle w:val="Ttulo1"/>
        <w:numPr>
          <w:ilvl w:val="0"/>
          <w:numId w:val="5"/>
        </w:numPr>
        <w:rPr>
          <w:rFonts w:ascii="Arial" w:hAnsi="Arial" w:cs="Arial"/>
          <w:b/>
          <w:color w:val="auto"/>
          <w:sz w:val="22"/>
          <w:szCs w:val="22"/>
        </w:rPr>
      </w:pPr>
      <w:r w:rsidRPr="000E4173">
        <w:rPr>
          <w:rFonts w:ascii="Arial" w:hAnsi="Arial" w:cs="Arial"/>
          <w:b/>
          <w:color w:val="auto"/>
          <w:sz w:val="22"/>
          <w:szCs w:val="22"/>
        </w:rPr>
        <w:t xml:space="preserve">Análisis </w:t>
      </w:r>
      <w:r w:rsidR="00825237" w:rsidRPr="000E4173">
        <w:rPr>
          <w:rFonts w:ascii="Arial" w:hAnsi="Arial" w:cs="Arial"/>
          <w:b/>
          <w:color w:val="auto"/>
          <w:sz w:val="22"/>
          <w:szCs w:val="22"/>
        </w:rPr>
        <w:t>de las propiedades del IFF</w:t>
      </w:r>
    </w:p>
    <w:p w:rsidR="00825237" w:rsidRPr="00285844" w:rsidRDefault="00825237" w:rsidP="00825237"/>
    <w:p w:rsidR="00F74C54" w:rsidRPr="000E4173" w:rsidRDefault="00C4722F" w:rsidP="000E4173">
      <w:pPr>
        <w:spacing w:after="0" w:line="360" w:lineRule="auto"/>
        <w:jc w:val="both"/>
        <w:rPr>
          <w:rFonts w:ascii="Arial" w:hAnsi="Arial" w:cs="Arial"/>
        </w:rPr>
      </w:pPr>
      <w:r w:rsidRPr="000E4173">
        <w:rPr>
          <w:rFonts w:ascii="Arial" w:hAnsi="Arial" w:cs="Arial"/>
        </w:rPr>
        <w:t xml:space="preserve">En esta sección se </w:t>
      </w:r>
      <w:r w:rsidR="00F74C54" w:rsidRPr="000E4173">
        <w:rPr>
          <w:rFonts w:ascii="Arial" w:hAnsi="Arial" w:cs="Arial"/>
        </w:rPr>
        <w:t xml:space="preserve">presenta el análisis de determinadas características del </w:t>
      </w:r>
      <w:r w:rsidRPr="000E4173">
        <w:rPr>
          <w:rFonts w:ascii="Arial" w:hAnsi="Arial" w:cs="Arial"/>
        </w:rPr>
        <w:t xml:space="preserve">IFF </w:t>
      </w:r>
      <w:r w:rsidR="00F74C54" w:rsidRPr="000E4173">
        <w:rPr>
          <w:rFonts w:ascii="Arial" w:hAnsi="Arial" w:cs="Arial"/>
        </w:rPr>
        <w:t xml:space="preserve">construido </w:t>
      </w:r>
      <w:r w:rsidRPr="000E4173">
        <w:rPr>
          <w:rFonts w:ascii="Arial" w:hAnsi="Arial" w:cs="Arial"/>
        </w:rPr>
        <w:t xml:space="preserve">precedentemente, </w:t>
      </w:r>
      <w:r w:rsidR="00F74C54" w:rsidRPr="000E4173">
        <w:rPr>
          <w:rFonts w:ascii="Arial" w:hAnsi="Arial" w:cs="Arial"/>
        </w:rPr>
        <w:t>s</w:t>
      </w:r>
      <w:r w:rsidR="00825237" w:rsidRPr="000E4173">
        <w:rPr>
          <w:rFonts w:ascii="Arial" w:hAnsi="Arial" w:cs="Arial"/>
        </w:rPr>
        <w:t xml:space="preserve">iguiendo las recomendaciones de la OECD </w:t>
      </w:r>
      <w:r w:rsidR="00F104DA" w:rsidRPr="000E4173">
        <w:rPr>
          <w:rFonts w:ascii="Arial" w:hAnsi="Arial" w:cs="Arial"/>
        </w:rPr>
        <w:t>(2008</w:t>
      </w:r>
      <w:r w:rsidR="00F74C54" w:rsidRPr="000E4173">
        <w:rPr>
          <w:rFonts w:ascii="Arial" w:hAnsi="Arial" w:cs="Arial"/>
        </w:rPr>
        <w:t>) para la elaboración de índices compuestos</w:t>
      </w:r>
      <w:r w:rsidR="00E62B4A" w:rsidRPr="000E4173">
        <w:rPr>
          <w:rFonts w:ascii="Arial" w:hAnsi="Arial" w:cs="Arial"/>
        </w:rPr>
        <w:t xml:space="preserve">, y </w:t>
      </w:r>
      <w:r w:rsidR="00F74C54" w:rsidRPr="000E4173">
        <w:rPr>
          <w:rFonts w:ascii="Arial" w:hAnsi="Arial" w:cs="Arial"/>
        </w:rPr>
        <w:t>concentr</w:t>
      </w:r>
      <w:r w:rsidR="00E62B4A" w:rsidRPr="000E4173">
        <w:rPr>
          <w:rFonts w:ascii="Arial" w:hAnsi="Arial" w:cs="Arial"/>
        </w:rPr>
        <w:t xml:space="preserve">ándose </w:t>
      </w:r>
      <w:r w:rsidR="00F74C54" w:rsidRPr="000E4173">
        <w:rPr>
          <w:rFonts w:ascii="Arial" w:hAnsi="Arial" w:cs="Arial"/>
        </w:rPr>
        <w:t xml:space="preserve">en </w:t>
      </w:r>
      <w:r w:rsidR="00E62B4A" w:rsidRPr="000E4173">
        <w:rPr>
          <w:rFonts w:ascii="Arial" w:hAnsi="Arial" w:cs="Arial"/>
        </w:rPr>
        <w:t xml:space="preserve">el </w:t>
      </w:r>
      <w:r w:rsidR="00F74C54" w:rsidRPr="000E4173">
        <w:rPr>
          <w:rFonts w:ascii="Arial" w:hAnsi="Arial" w:cs="Arial"/>
        </w:rPr>
        <w:t xml:space="preserve">análisis multivariado y </w:t>
      </w:r>
      <w:r w:rsidR="00E62B4A" w:rsidRPr="000E4173">
        <w:rPr>
          <w:rFonts w:ascii="Arial" w:hAnsi="Arial" w:cs="Arial"/>
        </w:rPr>
        <w:t xml:space="preserve">en los </w:t>
      </w:r>
      <w:r w:rsidR="00F74C54" w:rsidRPr="000E4173">
        <w:rPr>
          <w:rFonts w:ascii="Arial" w:hAnsi="Arial" w:cs="Arial"/>
        </w:rPr>
        <w:t xml:space="preserve">métodos de agregación y ponderación. </w:t>
      </w:r>
    </w:p>
    <w:p w:rsidR="00A13B3B" w:rsidRDefault="00E62B4A" w:rsidP="000E4173">
      <w:pPr>
        <w:spacing w:after="0" w:line="360" w:lineRule="auto"/>
        <w:jc w:val="both"/>
        <w:rPr>
          <w:rFonts w:ascii="Arial" w:hAnsi="Arial" w:cs="Arial"/>
        </w:rPr>
      </w:pPr>
      <w:r w:rsidRPr="000E4173">
        <w:rPr>
          <w:rFonts w:ascii="Arial" w:hAnsi="Arial" w:cs="Arial"/>
        </w:rPr>
        <w:t xml:space="preserve">Con </w:t>
      </w:r>
      <w:r w:rsidR="00D14B3A" w:rsidRPr="000E4173">
        <w:rPr>
          <w:rFonts w:ascii="Arial" w:hAnsi="Arial" w:cs="Arial"/>
        </w:rPr>
        <w:t>este fin, se utilizará el método de</w:t>
      </w:r>
      <w:r w:rsidR="00BF1325" w:rsidRPr="000E4173">
        <w:rPr>
          <w:rFonts w:ascii="Arial" w:hAnsi="Arial" w:cs="Arial"/>
        </w:rPr>
        <w:t xml:space="preserve"> Análisis de Componentes P</w:t>
      </w:r>
      <w:r w:rsidR="00D14B3A" w:rsidRPr="000E4173">
        <w:rPr>
          <w:rFonts w:ascii="Arial" w:hAnsi="Arial" w:cs="Arial"/>
        </w:rPr>
        <w:t>rincipales</w:t>
      </w:r>
      <w:r w:rsidRPr="000E4173">
        <w:rPr>
          <w:rFonts w:ascii="Arial" w:hAnsi="Arial" w:cs="Arial"/>
        </w:rPr>
        <w:t>,</w:t>
      </w:r>
      <w:r w:rsidR="00D14B3A" w:rsidRPr="000E4173">
        <w:rPr>
          <w:rFonts w:ascii="Arial" w:hAnsi="Arial" w:cs="Arial"/>
        </w:rPr>
        <w:t xml:space="preserve"> que posee como objetivo explicar la varianza de los datos obtenidos en la muestra</w:t>
      </w:r>
      <w:r w:rsidRPr="000E4173">
        <w:rPr>
          <w:rFonts w:ascii="Arial" w:hAnsi="Arial" w:cs="Arial"/>
        </w:rPr>
        <w:t>,</w:t>
      </w:r>
      <w:r w:rsidR="00D14B3A" w:rsidRPr="000E4173">
        <w:rPr>
          <w:rFonts w:ascii="Arial" w:hAnsi="Arial" w:cs="Arial"/>
        </w:rPr>
        <w:t xml:space="preserve"> a través de una cantidad de combinaciones lineales que resulte, en principio, inferior al número de variables original. </w:t>
      </w:r>
      <w:r w:rsidR="006267AD" w:rsidRPr="000E4173">
        <w:rPr>
          <w:rFonts w:ascii="Arial" w:hAnsi="Arial" w:cs="Arial"/>
        </w:rPr>
        <w:t xml:space="preserve">Este procedimiento resulta de utilidad cuando las variables originales presentan una elevada correlación (positiva o negativa). </w:t>
      </w:r>
      <w:r w:rsidR="006C260D" w:rsidRPr="000E4173">
        <w:rPr>
          <w:rFonts w:ascii="Arial" w:hAnsi="Arial" w:cs="Arial"/>
        </w:rPr>
        <w:t>Esta información puede extraerse de la matriz de correlación de los componentes del IFF</w:t>
      </w:r>
      <w:r w:rsidRPr="000E4173">
        <w:rPr>
          <w:rFonts w:ascii="Arial" w:hAnsi="Arial" w:cs="Arial"/>
        </w:rPr>
        <w:t>,</w:t>
      </w:r>
      <w:r w:rsidR="006C260D" w:rsidRPr="000E4173">
        <w:rPr>
          <w:rFonts w:ascii="Arial" w:hAnsi="Arial" w:cs="Arial"/>
        </w:rPr>
        <w:t xml:space="preserve"> que se presenta a continuación</w:t>
      </w:r>
      <w:r w:rsidR="00E67078" w:rsidRPr="000E4173">
        <w:rPr>
          <w:rStyle w:val="Refdenotaalpie"/>
          <w:rFonts w:ascii="Arial" w:hAnsi="Arial" w:cs="Arial"/>
        </w:rPr>
        <w:footnoteReference w:id="8"/>
      </w:r>
      <w:r w:rsidR="006C260D" w:rsidRPr="000E4173">
        <w:rPr>
          <w:rFonts w:ascii="Arial" w:hAnsi="Arial" w:cs="Arial"/>
        </w:rPr>
        <w:t xml:space="preserve">: </w:t>
      </w:r>
    </w:p>
    <w:p w:rsidR="0084386F" w:rsidRPr="000E4173" w:rsidRDefault="0084386F" w:rsidP="000E4173">
      <w:pPr>
        <w:spacing w:after="0" w:line="360" w:lineRule="auto"/>
        <w:jc w:val="both"/>
        <w:rPr>
          <w:rFonts w:ascii="Arial" w:hAnsi="Arial" w:cs="Arial"/>
        </w:rPr>
      </w:pPr>
    </w:p>
    <w:p w:rsidR="006267AD" w:rsidRPr="000E4173" w:rsidRDefault="006267AD" w:rsidP="006267AD">
      <w:pPr>
        <w:pStyle w:val="Epgrafe"/>
        <w:keepNext/>
        <w:jc w:val="center"/>
        <w:rPr>
          <w:rFonts w:ascii="Arial" w:hAnsi="Arial" w:cs="Arial"/>
          <w:b/>
          <w:i w:val="0"/>
          <w:color w:val="auto"/>
          <w:sz w:val="22"/>
          <w:szCs w:val="22"/>
        </w:rPr>
      </w:pPr>
      <w:r w:rsidRPr="000E4173">
        <w:rPr>
          <w:rFonts w:ascii="Arial" w:hAnsi="Arial" w:cs="Arial"/>
          <w:b/>
          <w:i w:val="0"/>
          <w:color w:val="auto"/>
          <w:sz w:val="22"/>
          <w:szCs w:val="22"/>
        </w:rPr>
        <w:t xml:space="preserve">Tabla </w:t>
      </w:r>
      <w:r w:rsidR="00E17F18" w:rsidRPr="000E4173">
        <w:rPr>
          <w:rFonts w:ascii="Arial" w:hAnsi="Arial" w:cs="Arial"/>
          <w:b/>
          <w:i w:val="0"/>
          <w:color w:val="auto"/>
          <w:sz w:val="22"/>
          <w:szCs w:val="22"/>
        </w:rPr>
        <w:fldChar w:fldCharType="begin"/>
      </w:r>
      <w:r w:rsidR="00A13B3B" w:rsidRPr="000E4173">
        <w:rPr>
          <w:rFonts w:ascii="Arial" w:hAnsi="Arial" w:cs="Arial"/>
          <w:b/>
          <w:i w:val="0"/>
          <w:color w:val="auto"/>
          <w:sz w:val="22"/>
          <w:szCs w:val="22"/>
        </w:rPr>
        <w:instrText xml:space="preserve"> SEQ Tabla \* ARABIC </w:instrText>
      </w:r>
      <w:r w:rsidR="00E17F18" w:rsidRPr="000E4173">
        <w:rPr>
          <w:rFonts w:ascii="Arial" w:hAnsi="Arial" w:cs="Arial"/>
          <w:b/>
          <w:i w:val="0"/>
          <w:color w:val="auto"/>
          <w:sz w:val="22"/>
          <w:szCs w:val="22"/>
        </w:rPr>
        <w:fldChar w:fldCharType="separate"/>
      </w:r>
      <w:r w:rsidR="0084386F">
        <w:rPr>
          <w:rFonts w:ascii="Arial" w:hAnsi="Arial" w:cs="Arial"/>
          <w:b/>
          <w:i w:val="0"/>
          <w:noProof/>
          <w:color w:val="auto"/>
          <w:sz w:val="22"/>
          <w:szCs w:val="22"/>
        </w:rPr>
        <w:t>2</w:t>
      </w:r>
      <w:r w:rsidR="00E17F18" w:rsidRPr="000E4173">
        <w:rPr>
          <w:rFonts w:ascii="Arial" w:hAnsi="Arial" w:cs="Arial"/>
          <w:b/>
          <w:i w:val="0"/>
          <w:color w:val="auto"/>
          <w:sz w:val="22"/>
          <w:szCs w:val="22"/>
        </w:rPr>
        <w:fldChar w:fldCharType="end"/>
      </w:r>
      <w:r w:rsidRPr="000E4173">
        <w:rPr>
          <w:rFonts w:ascii="Arial" w:hAnsi="Arial" w:cs="Arial"/>
          <w:b/>
          <w:i w:val="0"/>
          <w:color w:val="auto"/>
          <w:sz w:val="22"/>
          <w:szCs w:val="22"/>
        </w:rPr>
        <w:t>: Matriz de correlación de los componentes del IFF</w:t>
      </w:r>
    </w:p>
    <w:tbl>
      <w:tblPr>
        <w:tblW w:w="9195" w:type="dxa"/>
        <w:jc w:val="center"/>
        <w:tblCellMar>
          <w:left w:w="70" w:type="dxa"/>
          <w:right w:w="70" w:type="dxa"/>
        </w:tblCellMar>
        <w:tblLook w:val="04A0" w:firstRow="1" w:lastRow="0" w:firstColumn="1" w:lastColumn="0" w:noHBand="0" w:noVBand="1"/>
      </w:tblPr>
      <w:tblGrid>
        <w:gridCol w:w="1196"/>
        <w:gridCol w:w="757"/>
        <w:gridCol w:w="907"/>
        <w:gridCol w:w="867"/>
        <w:gridCol w:w="778"/>
        <w:gridCol w:w="757"/>
        <w:gridCol w:w="798"/>
        <w:gridCol w:w="878"/>
        <w:gridCol w:w="758"/>
        <w:gridCol w:w="757"/>
        <w:gridCol w:w="757"/>
      </w:tblGrid>
      <w:tr w:rsidR="003539E0" w:rsidRPr="000E4173" w:rsidTr="003539E0">
        <w:trPr>
          <w:trHeight w:val="300"/>
          <w:jc w:val="center"/>
        </w:trPr>
        <w:tc>
          <w:tcPr>
            <w:tcW w:w="120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 </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PERS</w:t>
            </w:r>
          </w:p>
        </w:tc>
        <w:tc>
          <w:tcPr>
            <w:tcW w:w="89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RESCOR</w:t>
            </w:r>
          </w:p>
        </w:tc>
        <w:tc>
          <w:tcPr>
            <w:tcW w:w="86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TRANSF</w:t>
            </w:r>
          </w:p>
        </w:tc>
        <w:tc>
          <w:tcPr>
            <w:tcW w:w="78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DEUDA</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w:t>
            </w:r>
          </w:p>
        </w:tc>
        <w:tc>
          <w:tcPr>
            <w:tcW w:w="80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RESFIN</w:t>
            </w:r>
          </w:p>
        </w:tc>
        <w:tc>
          <w:tcPr>
            <w:tcW w:w="86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TRANSP</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SERVD</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IIBB</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PT</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PERS</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0.75**</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-0.12</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0.42*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0.52*</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0.58**</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-0.18</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0.05</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-0.15</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RESCOR</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0.06</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0.61**</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0.56**</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0.71**</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0.11</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0.06</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0.06</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TRANSF</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0.04</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-0.18</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-0.24</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0.01</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-0.54**</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-0.29*</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DEUDA</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0.87**</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0.55*</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0.33</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0.19</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0.00</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0.68**</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0.17</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0.28</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0.11</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RESFIN</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rPr>
                <w:rFonts w:ascii="Arial" w:eastAsia="Times New Roman" w:hAnsi="Arial" w:cs="Arial"/>
                <w:color w:val="000000"/>
                <w:lang w:val="es-AR" w:eastAsia="es-AR"/>
              </w:rPr>
            </w:pPr>
            <w:r w:rsidRPr="000E4173">
              <w:rPr>
                <w:rFonts w:ascii="Arial" w:eastAsia="Times New Roman" w:hAnsi="Arial" w:cs="Arial"/>
                <w:color w:val="000000"/>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0.14</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-0.13</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0.30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0.14</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TRANSP</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rPr>
                <w:rFonts w:ascii="Arial" w:eastAsia="Times New Roman" w:hAnsi="Arial" w:cs="Arial"/>
                <w:color w:val="000000"/>
                <w:lang w:val="es-AR" w:eastAsia="es-AR"/>
              </w:rPr>
            </w:pPr>
            <w:r w:rsidRPr="000E4173">
              <w:rPr>
                <w:rFonts w:ascii="Arial" w:eastAsia="Times New Roman" w:hAnsi="Arial" w:cs="Arial"/>
                <w:color w:val="000000"/>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-0.37*</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-0.24</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-0.04</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SERVD</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rPr>
                <w:rFonts w:ascii="Arial" w:eastAsia="Times New Roman" w:hAnsi="Arial" w:cs="Arial"/>
                <w:color w:val="000000"/>
                <w:lang w:val="es-AR" w:eastAsia="es-AR"/>
              </w:rPr>
            </w:pPr>
            <w:r w:rsidRPr="000E4173">
              <w:rPr>
                <w:rFonts w:ascii="Arial" w:eastAsia="Times New Roman" w:hAnsi="Arial" w:cs="Arial"/>
                <w:color w:val="000000"/>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0.14</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0.03</w:t>
            </w:r>
          </w:p>
        </w:tc>
      </w:tr>
      <w:tr w:rsidR="003539E0" w:rsidRPr="000E4173" w:rsidTr="003539E0">
        <w:trPr>
          <w:trHeight w:val="300"/>
          <w:jc w:val="center"/>
        </w:trPr>
        <w:tc>
          <w:tcPr>
            <w:tcW w:w="12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IIBB</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rPr>
                <w:rFonts w:ascii="Arial" w:eastAsia="Times New Roman" w:hAnsi="Arial" w:cs="Arial"/>
                <w:color w:val="000000"/>
                <w:lang w:val="es-AR" w:eastAsia="es-AR"/>
              </w:rPr>
            </w:pPr>
            <w:r w:rsidRPr="000E4173">
              <w:rPr>
                <w:rFonts w:ascii="Arial" w:eastAsia="Times New Roman" w:hAnsi="Arial" w:cs="Arial"/>
                <w:color w:val="000000"/>
                <w:lang w:val="es-AR" w:eastAsia="es-AR"/>
              </w:rPr>
              <w:t> </w:t>
            </w:r>
          </w:p>
        </w:tc>
        <w:tc>
          <w:tcPr>
            <w:tcW w:w="781" w:type="dxa"/>
            <w:tcBorders>
              <w:top w:val="nil"/>
              <w:left w:val="nil"/>
              <w:bottom w:val="nil"/>
              <w:right w:val="nil"/>
            </w:tcBorders>
            <w:shd w:val="clear" w:color="auto" w:fill="auto"/>
            <w:noWrap/>
            <w:vAlign w:val="bottom"/>
            <w:hideMark/>
          </w:tcPr>
          <w:p w:rsidR="003539E0" w:rsidRPr="000E4173" w:rsidRDefault="003539E0" w:rsidP="003539E0">
            <w:pPr>
              <w:spacing w:after="0" w:line="240" w:lineRule="auto"/>
              <w:rPr>
                <w:rFonts w:ascii="Arial" w:eastAsia="Times New Roman" w:hAnsi="Arial" w:cs="Arial"/>
                <w:color w:val="000000"/>
                <w:lang w:val="es-AR" w:eastAsia="es-AR"/>
              </w:rPr>
            </w:pP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0.62**</w:t>
            </w:r>
          </w:p>
        </w:tc>
      </w:tr>
      <w:tr w:rsidR="003539E0" w:rsidRPr="000E4173" w:rsidTr="003539E0">
        <w:trPr>
          <w:trHeight w:val="300"/>
          <w:jc w:val="center"/>
        </w:trPr>
        <w:tc>
          <w:tcPr>
            <w:tcW w:w="1200" w:type="dxa"/>
            <w:tcBorders>
              <w:top w:val="nil"/>
              <w:left w:val="nil"/>
              <w:bottom w:val="single" w:sz="4" w:space="0" w:color="auto"/>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PT</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r>
    </w:tbl>
    <w:p w:rsidR="00AA5B52" w:rsidRPr="000E4173" w:rsidRDefault="003539E0" w:rsidP="00A13B3B">
      <w:pPr>
        <w:jc w:val="center"/>
        <w:rPr>
          <w:rFonts w:ascii="Arial" w:hAnsi="Arial" w:cs="Arial"/>
          <w:i/>
          <w:sz w:val="18"/>
          <w:szCs w:val="18"/>
        </w:rPr>
      </w:pPr>
      <w:r w:rsidRPr="000E4173">
        <w:rPr>
          <w:rFonts w:ascii="Arial" w:hAnsi="Arial" w:cs="Arial"/>
          <w:i/>
          <w:sz w:val="18"/>
          <w:szCs w:val="18"/>
        </w:rPr>
        <w:t>*Significativo a un nivel del 95% **Significativo a un nivel del 99%</w:t>
      </w:r>
    </w:p>
    <w:p w:rsidR="006C260D" w:rsidRPr="000E4173" w:rsidRDefault="00AA5B52" w:rsidP="000E4173">
      <w:pPr>
        <w:spacing w:after="0" w:line="360" w:lineRule="auto"/>
        <w:jc w:val="both"/>
        <w:rPr>
          <w:rFonts w:ascii="Arial" w:hAnsi="Arial" w:cs="Arial"/>
        </w:rPr>
      </w:pPr>
      <w:r w:rsidRPr="000E4173">
        <w:rPr>
          <w:rFonts w:ascii="Arial" w:hAnsi="Arial" w:cs="Arial"/>
        </w:rPr>
        <w:t xml:space="preserve">El cómputo del coeficiente de correlación de Pearson y el sometimiento del mismo a una prueba de significación </w:t>
      </w:r>
      <w:r w:rsidRPr="000E4173">
        <w:rPr>
          <w:rFonts w:ascii="Arial" w:hAnsi="Arial" w:cs="Arial"/>
          <w:i/>
        </w:rPr>
        <w:t>t</w:t>
      </w:r>
      <w:r w:rsidRPr="000E4173">
        <w:rPr>
          <w:rFonts w:ascii="Arial" w:hAnsi="Arial" w:cs="Arial"/>
        </w:rPr>
        <w:t xml:space="preserve"> indican que existen </w:t>
      </w:r>
      <w:r w:rsidR="003539E0" w:rsidRPr="000E4173">
        <w:rPr>
          <w:rFonts w:ascii="Arial" w:hAnsi="Arial" w:cs="Arial"/>
        </w:rPr>
        <w:t>catorce</w:t>
      </w:r>
      <w:r w:rsidRPr="000E4173">
        <w:rPr>
          <w:rFonts w:ascii="Arial" w:hAnsi="Arial" w:cs="Arial"/>
        </w:rPr>
        <w:t xml:space="preserve"> coeficientes </w:t>
      </w:r>
      <w:r w:rsidR="00BF514C" w:rsidRPr="000E4173">
        <w:rPr>
          <w:rFonts w:ascii="Arial" w:hAnsi="Arial" w:cs="Arial"/>
        </w:rPr>
        <w:t>estadísticamente</w:t>
      </w:r>
      <w:r w:rsidRPr="000E4173">
        <w:rPr>
          <w:rFonts w:ascii="Arial" w:hAnsi="Arial" w:cs="Arial"/>
        </w:rPr>
        <w:t xml:space="preserve"> distintos de cero, a un nivel del 95% (</w:t>
      </w:r>
      <w:r w:rsidR="003539E0" w:rsidRPr="000E4173">
        <w:rPr>
          <w:rFonts w:ascii="Arial" w:hAnsi="Arial" w:cs="Arial"/>
        </w:rPr>
        <w:t>ocho</w:t>
      </w:r>
      <w:r w:rsidRPr="000E4173">
        <w:rPr>
          <w:rFonts w:ascii="Arial" w:hAnsi="Arial" w:cs="Arial"/>
        </w:rPr>
        <w:t xml:space="preserve"> de ellos, al 99%). Como era </w:t>
      </w:r>
      <w:r w:rsidR="00795F5F" w:rsidRPr="000E4173">
        <w:rPr>
          <w:rFonts w:ascii="Arial" w:hAnsi="Arial" w:cs="Arial"/>
        </w:rPr>
        <w:t xml:space="preserve">de </w:t>
      </w:r>
      <w:r w:rsidRPr="000E4173">
        <w:rPr>
          <w:rFonts w:ascii="Arial" w:hAnsi="Arial" w:cs="Arial"/>
        </w:rPr>
        <w:t>espera</w:t>
      </w:r>
      <w:r w:rsidR="00795F5F" w:rsidRPr="000E4173">
        <w:rPr>
          <w:rFonts w:ascii="Arial" w:hAnsi="Arial" w:cs="Arial"/>
        </w:rPr>
        <w:t>r</w:t>
      </w:r>
      <w:r w:rsidRPr="000E4173">
        <w:rPr>
          <w:rFonts w:ascii="Arial" w:hAnsi="Arial" w:cs="Arial"/>
        </w:rPr>
        <w:t>, los más elevados (y con signo positivo) se presentan</w:t>
      </w:r>
      <w:r w:rsidR="00771E10">
        <w:rPr>
          <w:rFonts w:ascii="Arial" w:hAnsi="Arial" w:cs="Arial"/>
        </w:rPr>
        <w:t xml:space="preserve"> </w:t>
      </w:r>
      <w:r w:rsidRPr="000E4173">
        <w:rPr>
          <w:rFonts w:ascii="Arial" w:hAnsi="Arial" w:cs="Arial"/>
        </w:rPr>
        <w:t xml:space="preserve">entre el stock y los servicios de deuda, los resultados corrientes y financiero y el resultado corriente y el gasto en personal. </w:t>
      </w:r>
      <w:r w:rsidR="00BF514C" w:rsidRPr="000E4173">
        <w:rPr>
          <w:rFonts w:ascii="Arial" w:hAnsi="Arial" w:cs="Arial"/>
        </w:rPr>
        <w:t xml:space="preserve">Otras relaciones más llamativas se observan entre el gasto en personal y el stock y los servicios </w:t>
      </w:r>
      <w:r w:rsidR="003539E0" w:rsidRPr="000E4173">
        <w:rPr>
          <w:rFonts w:ascii="Arial" w:hAnsi="Arial" w:cs="Arial"/>
        </w:rPr>
        <w:t xml:space="preserve">de deuda y estos últimos con el </w:t>
      </w:r>
      <w:r w:rsidR="00795F5F" w:rsidRPr="000E4173">
        <w:rPr>
          <w:rFonts w:ascii="Arial" w:hAnsi="Arial" w:cs="Arial"/>
        </w:rPr>
        <w:t>í</w:t>
      </w:r>
      <w:r w:rsidR="003539E0" w:rsidRPr="000E4173">
        <w:rPr>
          <w:rFonts w:ascii="Arial" w:hAnsi="Arial" w:cs="Arial"/>
        </w:rPr>
        <w:t xml:space="preserve">ndice de Transparencia Presupuestaria. </w:t>
      </w:r>
      <w:r w:rsidR="00B37CB1" w:rsidRPr="000E4173">
        <w:rPr>
          <w:rFonts w:ascii="Arial" w:hAnsi="Arial" w:cs="Arial"/>
        </w:rPr>
        <w:t xml:space="preserve">Con signo negativo, se ubican la correlación entre los ingresos por transferencias discrecionales y </w:t>
      </w:r>
      <w:r w:rsidR="003539E0" w:rsidRPr="000E4173">
        <w:rPr>
          <w:rFonts w:ascii="Arial" w:hAnsi="Arial" w:cs="Arial"/>
        </w:rPr>
        <w:t>los indicadores que contienen conceptos vinculados con los recursos provinciales propios</w:t>
      </w:r>
      <w:r w:rsidR="00795F5F" w:rsidRPr="000E4173">
        <w:rPr>
          <w:rFonts w:ascii="Arial" w:hAnsi="Arial" w:cs="Arial"/>
        </w:rPr>
        <w:t>,</w:t>
      </w:r>
      <w:r w:rsidR="003539E0" w:rsidRPr="000E4173">
        <w:rPr>
          <w:rFonts w:ascii="Arial" w:hAnsi="Arial" w:cs="Arial"/>
        </w:rPr>
        <w:t xml:space="preserve"> como la presión tributaria y la</w:t>
      </w:r>
      <w:r w:rsidR="00771E10">
        <w:rPr>
          <w:rFonts w:ascii="Arial" w:hAnsi="Arial" w:cs="Arial"/>
        </w:rPr>
        <w:t xml:space="preserve"> </w:t>
      </w:r>
      <w:r w:rsidR="003539E0" w:rsidRPr="000E4173">
        <w:rPr>
          <w:rFonts w:ascii="Arial" w:hAnsi="Arial" w:cs="Arial"/>
        </w:rPr>
        <w:t xml:space="preserve">recaudación de Ingresos Brutos y Sellos. </w:t>
      </w:r>
    </w:p>
    <w:p w:rsidR="00B37CB1" w:rsidRPr="000E4173" w:rsidRDefault="00B37CB1" w:rsidP="000E4173">
      <w:pPr>
        <w:spacing w:after="0" w:line="360" w:lineRule="auto"/>
        <w:jc w:val="both"/>
        <w:rPr>
          <w:rFonts w:ascii="Arial" w:hAnsi="Arial" w:cs="Arial"/>
        </w:rPr>
      </w:pPr>
      <w:r w:rsidRPr="000E4173">
        <w:rPr>
          <w:rFonts w:ascii="Arial" w:hAnsi="Arial" w:cs="Arial"/>
        </w:rPr>
        <w:t>Antes de implementar el análisis por componentes principales, la OECD sugiere estandarizar las variables</w:t>
      </w:r>
      <w:r w:rsidR="002015D6" w:rsidRPr="000E4173">
        <w:rPr>
          <w:rFonts w:ascii="Arial" w:hAnsi="Arial" w:cs="Arial"/>
        </w:rPr>
        <w:t xml:space="preserve"> de manera que posean una media igual a cero y una desviación estándar igual a uno</w:t>
      </w:r>
      <w:r w:rsidR="007F1C46" w:rsidRPr="000E4173">
        <w:rPr>
          <w:rFonts w:ascii="Arial" w:hAnsi="Arial" w:cs="Arial"/>
        </w:rPr>
        <w:t>,</w:t>
      </w:r>
      <w:r w:rsidRPr="000E4173">
        <w:rPr>
          <w:rFonts w:ascii="Arial" w:hAnsi="Arial" w:cs="Arial"/>
        </w:rPr>
        <w:t xml:space="preserve"> a fin de que </w:t>
      </w:r>
      <w:r w:rsidR="007F1C46" w:rsidRPr="000E4173">
        <w:rPr>
          <w:rFonts w:ascii="Arial" w:hAnsi="Arial" w:cs="Arial"/>
        </w:rPr>
        <w:t>uno de los indicadores no posea una influencia indebida en el cómputo de la combinación lineal correspondiente</w:t>
      </w:r>
      <w:r w:rsidR="002015D6" w:rsidRPr="000E4173">
        <w:rPr>
          <w:rFonts w:ascii="Arial" w:hAnsi="Arial" w:cs="Arial"/>
        </w:rPr>
        <w:t xml:space="preserve">. </w:t>
      </w:r>
      <w:r w:rsidR="00795F5F" w:rsidRPr="000E4173">
        <w:rPr>
          <w:rFonts w:ascii="Arial" w:hAnsi="Arial" w:cs="Arial"/>
        </w:rPr>
        <w:t>Se advierte que l</w:t>
      </w:r>
      <w:r w:rsidR="002015D6" w:rsidRPr="000E4173">
        <w:rPr>
          <w:rFonts w:ascii="Arial" w:hAnsi="Arial" w:cs="Arial"/>
        </w:rPr>
        <w:t>a matriz de correlación para esta versión del índice arroja resultados prácticamente idénticos a los originales</w:t>
      </w:r>
      <w:r w:rsidR="00795F5F" w:rsidRPr="000E4173">
        <w:rPr>
          <w:rFonts w:ascii="Arial" w:hAnsi="Arial" w:cs="Arial"/>
        </w:rPr>
        <w:t>.</w:t>
      </w:r>
    </w:p>
    <w:p w:rsidR="00B37CB1" w:rsidRPr="000E4173" w:rsidRDefault="00B37CB1" w:rsidP="00B37CB1">
      <w:pPr>
        <w:pStyle w:val="Epgrafe"/>
        <w:keepNext/>
        <w:jc w:val="center"/>
        <w:rPr>
          <w:rFonts w:ascii="Arial" w:hAnsi="Arial" w:cs="Arial"/>
          <w:b/>
          <w:i w:val="0"/>
          <w:color w:val="auto"/>
          <w:sz w:val="22"/>
          <w:szCs w:val="22"/>
        </w:rPr>
      </w:pPr>
      <w:r w:rsidRPr="000E4173">
        <w:rPr>
          <w:rFonts w:ascii="Arial" w:hAnsi="Arial" w:cs="Arial"/>
          <w:b/>
          <w:i w:val="0"/>
          <w:color w:val="auto"/>
          <w:sz w:val="22"/>
          <w:szCs w:val="22"/>
        </w:rPr>
        <w:t xml:space="preserve">Tabla </w:t>
      </w:r>
      <w:r w:rsidR="00E17F18" w:rsidRPr="000E4173">
        <w:rPr>
          <w:rFonts w:ascii="Arial" w:hAnsi="Arial" w:cs="Arial"/>
          <w:b/>
          <w:i w:val="0"/>
          <w:color w:val="auto"/>
          <w:sz w:val="22"/>
          <w:szCs w:val="22"/>
        </w:rPr>
        <w:fldChar w:fldCharType="begin"/>
      </w:r>
      <w:r w:rsidR="00A13B3B" w:rsidRPr="000E4173">
        <w:rPr>
          <w:rFonts w:ascii="Arial" w:hAnsi="Arial" w:cs="Arial"/>
          <w:b/>
          <w:i w:val="0"/>
          <w:color w:val="auto"/>
          <w:sz w:val="22"/>
          <w:szCs w:val="22"/>
        </w:rPr>
        <w:instrText xml:space="preserve"> SEQ Tabla \* ARABIC </w:instrText>
      </w:r>
      <w:r w:rsidR="00E17F18" w:rsidRPr="000E4173">
        <w:rPr>
          <w:rFonts w:ascii="Arial" w:hAnsi="Arial" w:cs="Arial"/>
          <w:b/>
          <w:i w:val="0"/>
          <w:color w:val="auto"/>
          <w:sz w:val="22"/>
          <w:szCs w:val="22"/>
        </w:rPr>
        <w:fldChar w:fldCharType="separate"/>
      </w:r>
      <w:r w:rsidR="0084386F">
        <w:rPr>
          <w:rFonts w:ascii="Arial" w:hAnsi="Arial" w:cs="Arial"/>
          <w:b/>
          <w:i w:val="0"/>
          <w:noProof/>
          <w:color w:val="auto"/>
          <w:sz w:val="22"/>
          <w:szCs w:val="22"/>
        </w:rPr>
        <w:t>3</w:t>
      </w:r>
      <w:r w:rsidR="00E17F18" w:rsidRPr="000E4173">
        <w:rPr>
          <w:rFonts w:ascii="Arial" w:hAnsi="Arial" w:cs="Arial"/>
          <w:b/>
          <w:i w:val="0"/>
          <w:color w:val="auto"/>
          <w:sz w:val="22"/>
          <w:szCs w:val="22"/>
        </w:rPr>
        <w:fldChar w:fldCharType="end"/>
      </w:r>
      <w:r w:rsidRPr="000E4173">
        <w:rPr>
          <w:rFonts w:ascii="Arial" w:hAnsi="Arial" w:cs="Arial"/>
          <w:b/>
          <w:i w:val="0"/>
          <w:color w:val="auto"/>
          <w:sz w:val="22"/>
          <w:szCs w:val="22"/>
        </w:rPr>
        <w:t>: Matriz de correlación entre los componentes del IFF estandarizado</w:t>
      </w:r>
    </w:p>
    <w:tbl>
      <w:tblPr>
        <w:tblW w:w="9295" w:type="dxa"/>
        <w:tblInd w:w="70" w:type="dxa"/>
        <w:tblCellMar>
          <w:left w:w="70" w:type="dxa"/>
          <w:right w:w="70" w:type="dxa"/>
        </w:tblCellMar>
        <w:tblLook w:val="04A0" w:firstRow="1" w:lastRow="0" w:firstColumn="1" w:lastColumn="0" w:noHBand="0" w:noVBand="1"/>
      </w:tblPr>
      <w:tblGrid>
        <w:gridCol w:w="1300"/>
        <w:gridCol w:w="760"/>
        <w:gridCol w:w="911"/>
        <w:gridCol w:w="870"/>
        <w:gridCol w:w="781"/>
        <w:gridCol w:w="760"/>
        <w:gridCol w:w="801"/>
        <w:gridCol w:w="881"/>
        <w:gridCol w:w="761"/>
        <w:gridCol w:w="760"/>
        <w:gridCol w:w="760"/>
      </w:tblGrid>
      <w:tr w:rsidR="00F87D75" w:rsidRPr="000E4173" w:rsidTr="00F87D75">
        <w:trPr>
          <w:trHeight w:val="300"/>
        </w:trPr>
        <w:tc>
          <w:tcPr>
            <w:tcW w:w="130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 </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PERS</w:t>
            </w:r>
          </w:p>
        </w:tc>
        <w:tc>
          <w:tcPr>
            <w:tcW w:w="89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RESCOR</w:t>
            </w:r>
          </w:p>
        </w:tc>
        <w:tc>
          <w:tcPr>
            <w:tcW w:w="86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TRANSF</w:t>
            </w:r>
          </w:p>
        </w:tc>
        <w:tc>
          <w:tcPr>
            <w:tcW w:w="78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DEUDA</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w:t>
            </w:r>
          </w:p>
        </w:tc>
        <w:tc>
          <w:tcPr>
            <w:tcW w:w="80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RESFIN</w:t>
            </w:r>
          </w:p>
        </w:tc>
        <w:tc>
          <w:tcPr>
            <w:tcW w:w="861"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TRANSP</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SERVD</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IIBB</w:t>
            </w:r>
          </w:p>
        </w:tc>
        <w:tc>
          <w:tcPr>
            <w:tcW w:w="760" w:type="dxa"/>
            <w:tcBorders>
              <w:top w:val="single" w:sz="4" w:space="0" w:color="auto"/>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PT</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PERS</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0.75**</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-0.13</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0.42*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0.53*</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0.59**</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-0.16</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-0.15</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0.06</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-0.15</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RESCOR</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0.06</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0.62**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0.57**</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0.72**</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-0.21</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0.09</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0.06</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TRANSF</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0.06</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-0.17</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-0.25</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0.01</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-0.53**</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-0.28*</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DEUDA</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0.87**</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0.56*</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0.33</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0.21</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0.01</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0.69**</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-0.19</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0.17</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0.30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0.12</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RESFIN</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0.13</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-0.12</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0.31</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0.15</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TRANSP</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-0.37**</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-0.26</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-0.03</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SERVD</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0.16</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0.05</w:t>
            </w:r>
          </w:p>
        </w:tc>
      </w:tr>
      <w:tr w:rsidR="003539E0" w:rsidRPr="000E4173" w:rsidTr="00F87D75">
        <w:trPr>
          <w:trHeight w:val="300"/>
        </w:trPr>
        <w:tc>
          <w:tcPr>
            <w:tcW w:w="1300" w:type="dxa"/>
            <w:tcBorders>
              <w:top w:val="nil"/>
              <w:left w:val="nil"/>
              <w:bottom w:val="nil"/>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IIBB</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c>
          <w:tcPr>
            <w:tcW w:w="760" w:type="dxa"/>
            <w:tcBorders>
              <w:top w:val="nil"/>
              <w:left w:val="nil"/>
              <w:bottom w:val="nil"/>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0.62**</w:t>
            </w:r>
          </w:p>
        </w:tc>
      </w:tr>
      <w:tr w:rsidR="003539E0" w:rsidRPr="000E4173" w:rsidTr="00F87D75">
        <w:trPr>
          <w:trHeight w:val="300"/>
        </w:trPr>
        <w:tc>
          <w:tcPr>
            <w:tcW w:w="1300" w:type="dxa"/>
            <w:tcBorders>
              <w:top w:val="nil"/>
              <w:left w:val="nil"/>
              <w:bottom w:val="single" w:sz="4" w:space="0" w:color="auto"/>
              <w:right w:val="nil"/>
            </w:tcBorders>
            <w:shd w:val="clear" w:color="000000" w:fill="FFFFFF"/>
            <w:noWrap/>
            <w:vAlign w:val="center"/>
            <w:hideMark/>
          </w:tcPr>
          <w:p w:rsidR="003539E0" w:rsidRPr="000E4173" w:rsidRDefault="003539E0" w:rsidP="003539E0">
            <w:pPr>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PT</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9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8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0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861"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color w:val="000000"/>
                <w:sz w:val="18"/>
                <w:szCs w:val="18"/>
                <w:lang w:val="es-AR" w:eastAsia="es-AR"/>
              </w:rPr>
            </w:pPr>
            <w:r w:rsidRPr="000E4173">
              <w:rPr>
                <w:rFonts w:ascii="Arial" w:eastAsia="Times New Roman" w:hAnsi="Arial" w:cs="Arial"/>
                <w:color w:val="000000"/>
                <w:sz w:val="18"/>
                <w:szCs w:val="18"/>
                <w:lang w:val="es-AR" w:eastAsia="es-AR"/>
              </w:rPr>
              <w:t> </w:t>
            </w:r>
          </w:p>
        </w:tc>
        <w:tc>
          <w:tcPr>
            <w:tcW w:w="760" w:type="dxa"/>
            <w:tcBorders>
              <w:top w:val="nil"/>
              <w:left w:val="nil"/>
              <w:bottom w:val="single" w:sz="4" w:space="0" w:color="auto"/>
              <w:right w:val="nil"/>
            </w:tcBorders>
            <w:shd w:val="clear" w:color="000000" w:fill="FFFFFF"/>
            <w:noWrap/>
            <w:vAlign w:val="bottom"/>
            <w:hideMark/>
          </w:tcPr>
          <w:p w:rsidR="003539E0" w:rsidRPr="000E4173" w:rsidRDefault="003539E0" w:rsidP="003539E0">
            <w:pPr>
              <w:spacing w:after="0" w:line="240" w:lineRule="auto"/>
              <w:jc w:val="center"/>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1.00</w:t>
            </w:r>
          </w:p>
        </w:tc>
      </w:tr>
    </w:tbl>
    <w:p w:rsidR="00B37CB1" w:rsidRPr="000E4173" w:rsidRDefault="00F87D75" w:rsidP="007F1C46">
      <w:pPr>
        <w:jc w:val="center"/>
        <w:rPr>
          <w:rFonts w:ascii="Arial" w:hAnsi="Arial" w:cs="Arial"/>
          <w:i/>
          <w:sz w:val="18"/>
          <w:szCs w:val="18"/>
        </w:rPr>
      </w:pPr>
      <w:r w:rsidRPr="000E4173">
        <w:rPr>
          <w:rFonts w:ascii="Arial" w:hAnsi="Arial" w:cs="Arial"/>
          <w:i/>
          <w:sz w:val="18"/>
          <w:szCs w:val="18"/>
        </w:rPr>
        <w:t>*Significativo a un nivel del 95% **Significativo a un nivel del 99%</w:t>
      </w:r>
    </w:p>
    <w:p w:rsidR="00C157FB" w:rsidRPr="000E4173" w:rsidRDefault="00C157FB" w:rsidP="000E4173">
      <w:pPr>
        <w:spacing w:after="0" w:line="360" w:lineRule="auto"/>
        <w:jc w:val="both"/>
        <w:rPr>
          <w:rFonts w:ascii="Arial" w:hAnsi="Arial" w:cs="Arial"/>
        </w:rPr>
      </w:pPr>
      <w:r w:rsidRPr="000E4173">
        <w:rPr>
          <w:rFonts w:ascii="Arial" w:hAnsi="Arial" w:cs="Arial"/>
        </w:rPr>
        <w:t>Hecha esta aclaración, se procede a describir brevemente el análisis por componentes principales</w:t>
      </w:r>
      <w:r w:rsidR="00795F5F" w:rsidRPr="000E4173">
        <w:rPr>
          <w:rFonts w:ascii="Arial" w:hAnsi="Arial" w:cs="Arial"/>
        </w:rPr>
        <w:t xml:space="preserve"> que, </w:t>
      </w:r>
      <w:r w:rsidRPr="000E4173">
        <w:rPr>
          <w:rFonts w:ascii="Arial" w:hAnsi="Arial" w:cs="Arial"/>
        </w:rPr>
        <w:t>como se anticipó</w:t>
      </w:r>
      <w:r w:rsidR="00795F5F" w:rsidRPr="000E4173">
        <w:rPr>
          <w:rFonts w:ascii="Arial" w:hAnsi="Arial" w:cs="Arial"/>
        </w:rPr>
        <w:t>,</w:t>
      </w:r>
      <w:r w:rsidRPr="000E4173">
        <w:rPr>
          <w:rFonts w:ascii="Arial" w:hAnsi="Arial" w:cs="Arial"/>
        </w:rPr>
        <w:t xml:space="preserve"> posee como objetivo la</w:t>
      </w:r>
      <w:r w:rsidR="00F104DA" w:rsidRPr="000E4173">
        <w:rPr>
          <w:rFonts w:ascii="Arial" w:hAnsi="Arial" w:cs="Arial"/>
        </w:rPr>
        <w:t xml:space="preserve"> reducción del número de variables a una cantidad determinada de componentes principales</w:t>
      </w:r>
      <w:r w:rsidR="00795F5F" w:rsidRPr="000E4173">
        <w:rPr>
          <w:rFonts w:ascii="Arial" w:hAnsi="Arial" w:cs="Arial"/>
        </w:rPr>
        <w:t>,</w:t>
      </w:r>
      <w:r w:rsidR="00F104DA" w:rsidRPr="000E4173">
        <w:rPr>
          <w:rFonts w:ascii="Arial" w:hAnsi="Arial" w:cs="Arial"/>
        </w:rPr>
        <w:t xml:space="preserve"> que den cuenta de la mayor parte de la variabilidad en el conjunto de datos. En general, si la muestra posee P variables, se requiere seleccionar los primeros Q componentes principales que preserven esta varianza acumulada.</w:t>
      </w:r>
      <w:r w:rsidR="004F4CCC" w:rsidRPr="000E4173">
        <w:rPr>
          <w:rFonts w:ascii="Arial" w:hAnsi="Arial" w:cs="Arial"/>
        </w:rPr>
        <w:t xml:space="preserve"> Así, es posible presentar a los CP en base </w:t>
      </w:r>
      <w:r w:rsidR="00795F5F" w:rsidRPr="000E4173">
        <w:rPr>
          <w:rFonts w:ascii="Arial" w:hAnsi="Arial" w:cs="Arial"/>
        </w:rPr>
        <w:t xml:space="preserve">a </w:t>
      </w:r>
      <w:r w:rsidR="004F4CCC" w:rsidRPr="000E4173">
        <w:rPr>
          <w:rFonts w:ascii="Arial" w:hAnsi="Arial" w:cs="Arial"/>
        </w:rPr>
        <w:t xml:space="preserve">combinaciones lineales </w:t>
      </w:r>
      <w:r w:rsidR="001A1428" w:rsidRPr="000E4173">
        <w:rPr>
          <w:rFonts w:ascii="Arial" w:hAnsi="Arial" w:cs="Arial"/>
        </w:rPr>
        <w:t>de las variables</w:t>
      </w:r>
      <w:r w:rsidR="004F4CCC" w:rsidRPr="000E4173">
        <w:rPr>
          <w:rFonts w:ascii="Arial" w:hAnsi="Arial" w:cs="Arial"/>
        </w:rPr>
        <w:t xml:space="preserve">: </w:t>
      </w:r>
    </w:p>
    <w:p w:rsidR="001A1428" w:rsidRDefault="001A1428" w:rsidP="00AA5B52">
      <w:pPr>
        <w:spacing w:after="0" w:line="480" w:lineRule="auto"/>
        <w:jc w:val="both"/>
        <w:rPr>
          <w:rFonts w:ascii="Times New Roman" w:hAnsi="Times New Roman" w:cs="Times New Roman"/>
          <w:sz w:val="24"/>
          <w:szCs w:val="24"/>
        </w:rPr>
      </w:pPr>
    </w:p>
    <w:p w:rsidR="004F4CCC" w:rsidRPr="00285844" w:rsidRDefault="00EC7D44" w:rsidP="00AA5B52">
      <w:pPr>
        <w:spacing w:after="0" w:line="48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1Q</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Q</m:t>
              </m:r>
            </m:sub>
          </m:sSub>
        </m:oMath>
      </m:oMathPara>
    </w:p>
    <w:p w:rsidR="004F4CCC" w:rsidRPr="00285844" w:rsidRDefault="00EC7D44" w:rsidP="004F4CCC">
      <w:pPr>
        <w:spacing w:after="0" w:line="48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2Q</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Q</m:t>
              </m:r>
            </m:sub>
          </m:sSub>
        </m:oMath>
      </m:oMathPara>
    </w:p>
    <w:p w:rsidR="004F4CCC" w:rsidRPr="00285844" w:rsidRDefault="004F4CCC" w:rsidP="004F4CCC">
      <w:pPr>
        <w:spacing w:after="0" w:line="480" w:lineRule="auto"/>
        <w:ind w:left="2832"/>
        <w:jc w:val="both"/>
        <w:rPr>
          <w:rFonts w:ascii="Times New Roman" w:hAnsi="Times New Roman" w:cs="Times New Roman"/>
        </w:rPr>
      </w:pPr>
      <w:r w:rsidRPr="00285844">
        <w:rPr>
          <w:rFonts w:ascii="Times New Roman" w:hAnsi="Times New Roman" w:cs="Times New Roman"/>
        </w:rPr>
        <w:t>…</w:t>
      </w:r>
    </w:p>
    <w:p w:rsidR="004F4CCC" w:rsidRPr="00285844" w:rsidRDefault="00EC7D44" w:rsidP="004F4CCC">
      <w:pPr>
        <w:spacing w:after="0" w:line="48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Q</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QQ</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Q</m:t>
              </m:r>
            </m:sub>
          </m:sSub>
        </m:oMath>
      </m:oMathPara>
    </w:p>
    <w:p w:rsidR="001A1428" w:rsidRPr="00285844" w:rsidRDefault="001A1428" w:rsidP="00AA5B52">
      <w:pPr>
        <w:spacing w:after="0" w:line="480" w:lineRule="auto"/>
        <w:jc w:val="both"/>
        <w:rPr>
          <w:rFonts w:ascii="Times New Roman" w:hAnsi="Times New Roman" w:cs="Times New Roman"/>
        </w:rPr>
      </w:pPr>
    </w:p>
    <w:p w:rsidR="003444C9" w:rsidRPr="000E4173" w:rsidRDefault="001A1428" w:rsidP="000E4173">
      <w:pPr>
        <w:spacing w:after="0" w:line="360" w:lineRule="auto"/>
        <w:jc w:val="both"/>
        <w:rPr>
          <w:rFonts w:ascii="Arial" w:hAnsi="Arial" w:cs="Arial"/>
        </w:rPr>
      </w:pPr>
      <w:r w:rsidRPr="000E4173">
        <w:rPr>
          <w:rFonts w:ascii="Arial" w:hAnsi="Arial" w:cs="Arial"/>
        </w:rPr>
        <w:t>En el caso particular del IFF</w:t>
      </w:r>
      <w:r w:rsidR="00795F5F" w:rsidRPr="000E4173">
        <w:rPr>
          <w:rFonts w:ascii="Arial" w:hAnsi="Arial" w:cs="Arial"/>
        </w:rPr>
        <w:t>,</w:t>
      </w:r>
      <w:r w:rsidRPr="000E4173">
        <w:rPr>
          <w:rFonts w:ascii="Arial" w:hAnsi="Arial" w:cs="Arial"/>
        </w:rPr>
        <w:t xml:space="preserve"> el número de variables (indicadores) es igual a </w:t>
      </w:r>
      <w:r w:rsidR="00795F5F" w:rsidRPr="000E4173">
        <w:rPr>
          <w:rFonts w:ascii="Arial" w:hAnsi="Arial" w:cs="Arial"/>
        </w:rPr>
        <w:t>10</w:t>
      </w:r>
      <w:r w:rsidRPr="000E4173">
        <w:rPr>
          <w:rFonts w:ascii="Arial" w:hAnsi="Arial" w:cs="Arial"/>
        </w:rPr>
        <w:t xml:space="preserve">. Por ende, se requiere encontrar un número menor de CP </w:t>
      </w:r>
      <w:r w:rsidR="00D71353" w:rsidRPr="000E4173">
        <w:rPr>
          <w:rFonts w:ascii="Arial" w:hAnsi="Arial" w:cs="Arial"/>
        </w:rPr>
        <w:t xml:space="preserve">que cumplan con las condiciones de no encontrarse correlacionados entre sí y donde los ponderadores </w:t>
      </w:r>
      <m:oMath>
        <m:sSub>
          <m:sSubPr>
            <m:ctrlPr>
              <w:rPr>
                <w:rFonts w:ascii="Cambria Math" w:hAnsi="Cambria Math" w:cs="Arial"/>
                <w:i/>
              </w:rPr>
            </m:ctrlPr>
          </m:sSubPr>
          <m:e>
            <m:r>
              <w:rPr>
                <w:rFonts w:ascii="Cambria Math" w:hAnsi="Cambria Math" w:cs="Arial"/>
              </w:rPr>
              <m:t>a</m:t>
            </m:r>
          </m:e>
          <m:sub>
            <m:r>
              <w:rPr>
                <w:rFonts w:ascii="Cambria Math" w:hAnsi="Cambria Math" w:cs="Arial"/>
              </w:rPr>
              <m:t>ij</m:t>
            </m:r>
          </m:sub>
        </m:sSub>
      </m:oMath>
      <w:r w:rsidR="00D71353" w:rsidRPr="000E4173">
        <w:rPr>
          <w:rFonts w:ascii="Arial" w:hAnsi="Arial" w:cs="Arial"/>
        </w:rPr>
        <w:t xml:space="preserve"> cumplan con la siguiente condición: </w:t>
      </w:r>
    </w:p>
    <w:p w:rsidR="003444C9" w:rsidRPr="00285844" w:rsidRDefault="00EC7D44" w:rsidP="003444C9">
      <w:pPr>
        <w:spacing w:after="0" w:line="480" w:lineRule="auto"/>
        <w:jc w:val="center"/>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iQ</m:t>
            </m:r>
          </m:sub>
          <m:sup>
            <m:r>
              <w:rPr>
                <w:rFonts w:ascii="Cambria Math" w:hAnsi="Cambria Math" w:cs="Times New Roman"/>
              </w:rPr>
              <m:t>2</m:t>
            </m:r>
          </m:sup>
        </m:sSubSup>
        <m:r>
          <w:rPr>
            <w:rFonts w:ascii="Cambria Math" w:hAnsi="Cambria Math" w:cs="Times New Roman"/>
          </w:rPr>
          <m:t>=1</m:t>
        </m:r>
      </m:oMath>
      <w:r w:rsidR="00D71353" w:rsidRPr="00285844">
        <w:rPr>
          <w:rFonts w:ascii="Times New Roman" w:hAnsi="Times New Roman" w:cs="Times New Roman"/>
        </w:rPr>
        <w:t>, i= 1, 2</w:t>
      </w:r>
      <w:r w:rsidR="00337AF6" w:rsidRPr="00285844">
        <w:rPr>
          <w:rFonts w:ascii="Times New Roman" w:hAnsi="Times New Roman" w:cs="Times New Roman"/>
        </w:rPr>
        <w:t>,…, Q</w:t>
      </w:r>
    </w:p>
    <w:p w:rsidR="00D71353" w:rsidRPr="000E4173" w:rsidRDefault="00755A3F" w:rsidP="000E4173">
      <w:pPr>
        <w:spacing w:after="0" w:line="360" w:lineRule="auto"/>
        <w:jc w:val="both"/>
        <w:rPr>
          <w:rFonts w:ascii="Arial" w:hAnsi="Arial" w:cs="Arial"/>
        </w:rPr>
      </w:pPr>
      <w:r w:rsidRPr="000E4173">
        <w:rPr>
          <w:rFonts w:ascii="Arial" w:hAnsi="Arial" w:cs="Arial"/>
        </w:rPr>
        <w:t xml:space="preserve">El siguiente paso para determinar los CP consiste en hallar los valores propios de la matriz de varianzas y covarianzas de los componentes de la muestra. </w:t>
      </w:r>
      <w:r w:rsidR="00847AFC" w:rsidRPr="000E4173">
        <w:rPr>
          <w:rFonts w:ascii="Arial" w:hAnsi="Arial" w:cs="Arial"/>
        </w:rPr>
        <w:t>En el caso particular del IFF, la mism</w:t>
      </w:r>
      <w:r w:rsidR="007F1C46" w:rsidRPr="000E4173">
        <w:rPr>
          <w:rFonts w:ascii="Arial" w:hAnsi="Arial" w:cs="Arial"/>
        </w:rPr>
        <w:t>a asume la forma de una matriz 10x10</w:t>
      </w:r>
      <w:r w:rsidR="00847AFC" w:rsidRPr="000E4173">
        <w:rPr>
          <w:rFonts w:ascii="Arial" w:hAnsi="Arial" w:cs="Arial"/>
        </w:rPr>
        <w:t xml:space="preserve"> como la que se presenta a continuación: </w:t>
      </w:r>
    </w:p>
    <w:p w:rsidR="00847AFC" w:rsidRPr="00285844" w:rsidRDefault="00847AFC" w:rsidP="00755A3F">
      <w:pPr>
        <w:spacing w:after="0" w:line="480" w:lineRule="auto"/>
        <w:jc w:val="both"/>
        <w:rPr>
          <w:rFonts w:ascii="Times New Roman" w:hAnsi="Times New Roman" w:cs="Times New Roman"/>
        </w:rPr>
      </w:pPr>
      <m:oMathPara>
        <m:oMath>
          <m:r>
            <w:rPr>
              <w:rFonts w:ascii="Cambria Math" w:hAnsi="Cambria Math" w:cs="Times New Roman"/>
            </w:rPr>
            <m:t>MC=</m:t>
          </m:r>
          <m:d>
            <m:dPr>
              <m:begChr m:val="["/>
              <m:endChr m:val="]"/>
              <m:ctrlPr>
                <w:rPr>
                  <w:rFonts w:ascii="Cambria Math" w:hAnsi="Cambria Math" w:cs="Times New Roman"/>
                  <w:i/>
                </w:rPr>
              </m:ctrlPr>
            </m:dPr>
            <m:e>
              <m:m>
                <m:mPr>
                  <m:mcs>
                    <m:mc>
                      <m:mcPr>
                        <m:count m:val="3"/>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mc</m:t>
                        </m:r>
                      </m:e>
                      <m:sub>
                        <m:r>
                          <w:rPr>
                            <w:rFonts w:ascii="Cambria Math" w:hAnsi="Cambria Math" w:cs="Times New Roman"/>
                          </w:rPr>
                          <m:t>1,1</m:t>
                        </m:r>
                      </m:sub>
                    </m:sSub>
                  </m:e>
                  <m:e>
                    <m:r>
                      <w:rPr>
                        <w:rFonts w:ascii="Cambria Math" w:hAnsi="Cambria Math" w:cs="Times New Roman"/>
                      </w:rPr>
                      <m:t>⋯</m:t>
                    </m:r>
                  </m:e>
                  <m:e>
                    <m:sSub>
                      <m:sSubPr>
                        <m:ctrlPr>
                          <w:rPr>
                            <w:rFonts w:ascii="Cambria Math" w:hAnsi="Cambria Math" w:cs="Times New Roman"/>
                            <w:i/>
                          </w:rPr>
                        </m:ctrlPr>
                      </m:sSubPr>
                      <m:e>
                        <m:r>
                          <w:rPr>
                            <w:rFonts w:ascii="Cambria Math" w:hAnsi="Cambria Math" w:cs="Times New Roman"/>
                          </w:rPr>
                          <m:t>mc</m:t>
                        </m:r>
                      </m:e>
                      <m:sub>
                        <m:r>
                          <w:rPr>
                            <w:rFonts w:ascii="Cambria Math" w:hAnsi="Cambria Math" w:cs="Times New Roman"/>
                          </w:rPr>
                          <m:t>1,8</m:t>
                        </m:r>
                      </m:sub>
                    </m:sSub>
                  </m:e>
                </m:mr>
                <m:mr>
                  <m:e>
                    <m:r>
                      <w:rPr>
                        <w:rFonts w:ascii="Cambria Math" w:hAnsi="Cambria Math" w:cs="Times New Roman"/>
                      </w:rPr>
                      <m:t>⋮</m:t>
                    </m:r>
                  </m:e>
                  <m:e>
                    <m:r>
                      <w:rPr>
                        <w:rFonts w:ascii="Cambria Math" w:hAnsi="Cambria Math" w:cs="Times New Roman"/>
                      </w:rPr>
                      <m:t>⋱</m:t>
                    </m:r>
                  </m:e>
                  <m:e>
                    <m:r>
                      <w:rPr>
                        <w:rFonts w:ascii="Cambria Math" w:hAnsi="Cambria Math" w:cs="Times New Roman"/>
                      </w:rPr>
                      <m:t>⋮</m:t>
                    </m:r>
                  </m:e>
                </m:mr>
                <m:mr>
                  <m:e>
                    <m:sSub>
                      <m:sSubPr>
                        <m:ctrlPr>
                          <w:rPr>
                            <w:rFonts w:ascii="Cambria Math" w:hAnsi="Cambria Math" w:cs="Times New Roman"/>
                            <w:i/>
                          </w:rPr>
                        </m:ctrlPr>
                      </m:sSubPr>
                      <m:e>
                        <m:r>
                          <w:rPr>
                            <w:rFonts w:ascii="Cambria Math" w:hAnsi="Cambria Math" w:cs="Times New Roman"/>
                          </w:rPr>
                          <m:t>mc</m:t>
                        </m:r>
                      </m:e>
                      <m:sub>
                        <m:r>
                          <w:rPr>
                            <w:rFonts w:ascii="Cambria Math" w:hAnsi="Cambria Math" w:cs="Times New Roman"/>
                          </w:rPr>
                          <m:t>10,1</m:t>
                        </m:r>
                      </m:sub>
                    </m:sSub>
                  </m:e>
                  <m:e>
                    <m:r>
                      <w:rPr>
                        <w:rFonts w:ascii="Cambria Math" w:hAnsi="Cambria Math" w:cs="Times New Roman"/>
                      </w:rPr>
                      <m:t>⋯</m:t>
                    </m:r>
                  </m:e>
                  <m:e>
                    <m:sSub>
                      <m:sSubPr>
                        <m:ctrlPr>
                          <w:rPr>
                            <w:rFonts w:ascii="Cambria Math" w:hAnsi="Cambria Math" w:cs="Times New Roman"/>
                            <w:i/>
                          </w:rPr>
                        </m:ctrlPr>
                      </m:sSubPr>
                      <m:e>
                        <m:r>
                          <w:rPr>
                            <w:rFonts w:ascii="Cambria Math" w:hAnsi="Cambria Math" w:cs="Times New Roman"/>
                          </w:rPr>
                          <m:t>mc</m:t>
                        </m:r>
                      </m:e>
                      <m:sub>
                        <m:r>
                          <w:rPr>
                            <w:rFonts w:ascii="Cambria Math" w:hAnsi="Cambria Math" w:cs="Times New Roman"/>
                          </w:rPr>
                          <m:t>10,10</m:t>
                        </m:r>
                      </m:sub>
                    </m:sSub>
                  </m:e>
                </m:mr>
              </m:m>
            </m:e>
          </m:d>
        </m:oMath>
      </m:oMathPara>
    </w:p>
    <w:p w:rsidR="00847AFC" w:rsidRDefault="003976B1" w:rsidP="000E4173">
      <w:pPr>
        <w:spacing w:after="0" w:line="360" w:lineRule="auto"/>
        <w:jc w:val="both"/>
        <w:rPr>
          <w:rFonts w:ascii="Arial" w:hAnsi="Arial" w:cs="Arial"/>
        </w:rPr>
      </w:pPr>
      <w:r w:rsidRPr="000E4173">
        <w:rPr>
          <w:rFonts w:ascii="Arial" w:hAnsi="Arial" w:cs="Arial"/>
        </w:rPr>
        <w:t xml:space="preserve">Dado que el IFF fue estandarizado para tener una media igual a cero y una desviación estándar igual a uno, </w:t>
      </w:r>
      <w:r w:rsidR="00720511" w:rsidRPr="000E4173">
        <w:rPr>
          <w:rFonts w:ascii="Arial" w:hAnsi="Arial" w:cs="Arial"/>
        </w:rPr>
        <w:t>los componentes de la matriz</w:t>
      </w:r>
      <m:oMath>
        <m:r>
          <w:rPr>
            <w:rFonts w:ascii="Cambria Math" w:hAnsi="Cambria Math" w:cs="Arial"/>
          </w:rPr>
          <m:t>MC</m:t>
        </m:r>
      </m:oMath>
      <w:r w:rsidRPr="000E4173">
        <w:rPr>
          <w:rFonts w:ascii="Arial" w:hAnsi="Arial" w:cs="Arial"/>
        </w:rPr>
        <w:t xml:space="preserve"> no </w:t>
      </w:r>
      <w:r w:rsidR="00720511" w:rsidRPr="000E4173">
        <w:rPr>
          <w:rFonts w:ascii="Arial" w:hAnsi="Arial" w:cs="Arial"/>
        </w:rPr>
        <w:t xml:space="preserve">son otros que los coeficientes de correlación expuestos en la Tabla 2. De esta manera, se facilita la </w:t>
      </w:r>
      <w:r w:rsidR="003444C9" w:rsidRPr="000E4173">
        <w:rPr>
          <w:rFonts w:ascii="Arial" w:hAnsi="Arial" w:cs="Arial"/>
        </w:rPr>
        <w:t xml:space="preserve">implementación de la </w:t>
      </w:r>
      <w:r w:rsidR="00720511" w:rsidRPr="000E4173">
        <w:rPr>
          <w:rFonts w:ascii="Arial" w:hAnsi="Arial" w:cs="Arial"/>
        </w:rPr>
        <w:t xml:space="preserve">etapa subsiguiente del método que consiste en </w:t>
      </w:r>
      <w:r w:rsidR="003444C9" w:rsidRPr="000E4173">
        <w:rPr>
          <w:rFonts w:ascii="Arial" w:hAnsi="Arial" w:cs="Arial"/>
        </w:rPr>
        <w:t>computar los valores propios de esta matriz</w:t>
      </w:r>
      <w:r w:rsidR="00795F5F" w:rsidRPr="000E4173">
        <w:rPr>
          <w:rFonts w:ascii="Arial" w:hAnsi="Arial" w:cs="Arial"/>
        </w:rPr>
        <w:t>,</w:t>
      </w:r>
      <w:r w:rsidR="003444C9" w:rsidRPr="000E4173">
        <w:rPr>
          <w:rFonts w:ascii="Arial" w:hAnsi="Arial" w:cs="Arial"/>
        </w:rPr>
        <w:t xml:space="preserve"> que se encuentran asociados a la varianza de cada uno de los CP. Esta información se presenta en la Tabla </w:t>
      </w:r>
      <w:r w:rsidR="00795F5F" w:rsidRPr="000E4173">
        <w:rPr>
          <w:rFonts w:ascii="Arial" w:hAnsi="Arial" w:cs="Arial"/>
        </w:rPr>
        <w:t>4.</w:t>
      </w:r>
    </w:p>
    <w:p w:rsidR="00FA26DF" w:rsidRPr="000E4173" w:rsidRDefault="00FA26DF" w:rsidP="000E4173">
      <w:pPr>
        <w:spacing w:after="0" w:line="360" w:lineRule="auto"/>
        <w:jc w:val="both"/>
        <w:rPr>
          <w:rFonts w:ascii="Arial" w:hAnsi="Arial" w:cs="Arial"/>
        </w:rPr>
      </w:pPr>
    </w:p>
    <w:p w:rsidR="00AB0ABA" w:rsidRPr="000E4173" w:rsidRDefault="00AB0ABA" w:rsidP="00AB0ABA">
      <w:pPr>
        <w:pStyle w:val="Epgrafe"/>
        <w:keepNext/>
        <w:jc w:val="center"/>
        <w:rPr>
          <w:rFonts w:ascii="Arial" w:hAnsi="Arial" w:cs="Arial"/>
          <w:b/>
          <w:i w:val="0"/>
          <w:color w:val="auto"/>
          <w:sz w:val="22"/>
          <w:szCs w:val="22"/>
        </w:rPr>
      </w:pPr>
      <w:r w:rsidRPr="000E4173">
        <w:rPr>
          <w:rFonts w:ascii="Arial" w:hAnsi="Arial" w:cs="Arial"/>
          <w:b/>
          <w:i w:val="0"/>
          <w:color w:val="auto"/>
          <w:sz w:val="22"/>
          <w:szCs w:val="22"/>
        </w:rPr>
        <w:t xml:space="preserve">Tabla </w:t>
      </w:r>
      <w:r w:rsidR="00E17F18" w:rsidRPr="000E4173">
        <w:rPr>
          <w:rFonts w:ascii="Arial" w:hAnsi="Arial" w:cs="Arial"/>
          <w:b/>
          <w:i w:val="0"/>
          <w:color w:val="auto"/>
          <w:sz w:val="22"/>
          <w:szCs w:val="22"/>
        </w:rPr>
        <w:fldChar w:fldCharType="begin"/>
      </w:r>
      <w:r w:rsidR="00A13B3B" w:rsidRPr="000E4173">
        <w:rPr>
          <w:rFonts w:ascii="Arial" w:hAnsi="Arial" w:cs="Arial"/>
          <w:b/>
          <w:i w:val="0"/>
          <w:color w:val="auto"/>
          <w:sz w:val="22"/>
          <w:szCs w:val="22"/>
        </w:rPr>
        <w:instrText xml:space="preserve"> SEQ Tabla \* ARABIC </w:instrText>
      </w:r>
      <w:r w:rsidR="00E17F18" w:rsidRPr="000E4173">
        <w:rPr>
          <w:rFonts w:ascii="Arial" w:hAnsi="Arial" w:cs="Arial"/>
          <w:b/>
          <w:i w:val="0"/>
          <w:color w:val="auto"/>
          <w:sz w:val="22"/>
          <w:szCs w:val="22"/>
        </w:rPr>
        <w:fldChar w:fldCharType="separate"/>
      </w:r>
      <w:r w:rsidR="0084386F">
        <w:rPr>
          <w:rFonts w:ascii="Arial" w:hAnsi="Arial" w:cs="Arial"/>
          <w:b/>
          <w:i w:val="0"/>
          <w:noProof/>
          <w:color w:val="auto"/>
          <w:sz w:val="22"/>
          <w:szCs w:val="22"/>
        </w:rPr>
        <w:t>4</w:t>
      </w:r>
      <w:r w:rsidR="00E17F18" w:rsidRPr="000E4173">
        <w:rPr>
          <w:rFonts w:ascii="Arial" w:hAnsi="Arial" w:cs="Arial"/>
          <w:b/>
          <w:i w:val="0"/>
          <w:color w:val="auto"/>
          <w:sz w:val="22"/>
          <w:szCs w:val="22"/>
        </w:rPr>
        <w:fldChar w:fldCharType="end"/>
      </w:r>
      <w:r w:rsidRPr="000E4173">
        <w:rPr>
          <w:rFonts w:ascii="Arial" w:hAnsi="Arial" w:cs="Arial"/>
          <w:b/>
          <w:i w:val="0"/>
          <w:color w:val="auto"/>
          <w:sz w:val="22"/>
          <w:szCs w:val="22"/>
        </w:rPr>
        <w:t>: Valores propios y varianza explicada por cada componente</w:t>
      </w:r>
    </w:p>
    <w:tbl>
      <w:tblPr>
        <w:tblW w:w="5639" w:type="dxa"/>
        <w:jc w:val="center"/>
        <w:tblCellMar>
          <w:left w:w="70" w:type="dxa"/>
          <w:right w:w="70" w:type="dxa"/>
        </w:tblCellMar>
        <w:tblLook w:val="04A0" w:firstRow="1" w:lastRow="0" w:firstColumn="1" w:lastColumn="0" w:noHBand="0" w:noVBand="1"/>
      </w:tblPr>
      <w:tblGrid>
        <w:gridCol w:w="1300"/>
        <w:gridCol w:w="1091"/>
        <w:gridCol w:w="1029"/>
        <w:gridCol w:w="1085"/>
        <w:gridCol w:w="1140"/>
      </w:tblGrid>
      <w:tr w:rsidR="00534AD0" w:rsidRPr="000E4173" w:rsidTr="00534AD0">
        <w:trPr>
          <w:trHeight w:val="300"/>
          <w:jc w:val="center"/>
        </w:trPr>
        <w:tc>
          <w:tcPr>
            <w:tcW w:w="1300" w:type="dxa"/>
            <w:tcBorders>
              <w:top w:val="single" w:sz="4" w:space="0" w:color="auto"/>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Component</w:t>
            </w:r>
          </w:p>
        </w:tc>
        <w:tc>
          <w:tcPr>
            <w:tcW w:w="1085" w:type="dxa"/>
            <w:tcBorders>
              <w:top w:val="single" w:sz="4" w:space="0" w:color="auto"/>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Eigenvalue</w:t>
            </w:r>
          </w:p>
        </w:tc>
        <w:tc>
          <w:tcPr>
            <w:tcW w:w="1029" w:type="dxa"/>
            <w:tcBorders>
              <w:top w:val="single" w:sz="4" w:space="0" w:color="auto"/>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Difference</w:t>
            </w:r>
          </w:p>
        </w:tc>
        <w:tc>
          <w:tcPr>
            <w:tcW w:w="1085" w:type="dxa"/>
            <w:tcBorders>
              <w:top w:val="single" w:sz="4" w:space="0" w:color="auto"/>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Proportion</w:t>
            </w:r>
          </w:p>
        </w:tc>
        <w:tc>
          <w:tcPr>
            <w:tcW w:w="1140" w:type="dxa"/>
            <w:tcBorders>
              <w:top w:val="single" w:sz="4" w:space="0" w:color="auto"/>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Cumulative</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Comp1</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3.7156</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1.7768</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0.3716</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0.3716</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Comp2</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1.9388</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0.3524</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0.1939</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0.5654</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Comp3</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1.5864</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0.6813</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0.1586</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0.7241</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Comp4</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0.9051</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0.2013</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0.0905</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0.8146</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Comp5</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0.7038</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0.2236</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0.0704</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0.8850</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Comp6</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0.4802</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0.2023</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0.0480</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0.9330</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Comp7</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0.2778</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0.0493</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0.0278</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0.9608</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Comp8</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0.2286</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0.0900</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0.0229</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0.9836</w:t>
            </w:r>
          </w:p>
        </w:tc>
      </w:tr>
      <w:tr w:rsidR="00534AD0" w:rsidRPr="000E4173" w:rsidTr="00534AD0">
        <w:trPr>
          <w:trHeight w:val="300"/>
          <w:jc w:val="center"/>
        </w:trPr>
        <w:tc>
          <w:tcPr>
            <w:tcW w:w="130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Comp9</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0.1386</w:t>
            </w:r>
          </w:p>
        </w:tc>
        <w:tc>
          <w:tcPr>
            <w:tcW w:w="1029"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0.1134</w:t>
            </w:r>
          </w:p>
        </w:tc>
        <w:tc>
          <w:tcPr>
            <w:tcW w:w="1085"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0.0139</w:t>
            </w:r>
          </w:p>
        </w:tc>
        <w:tc>
          <w:tcPr>
            <w:tcW w:w="1140" w:type="dxa"/>
            <w:tcBorders>
              <w:top w:val="nil"/>
              <w:left w:val="nil"/>
              <w:bottom w:val="nil"/>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0.9975</w:t>
            </w:r>
          </w:p>
        </w:tc>
      </w:tr>
      <w:tr w:rsidR="00534AD0" w:rsidRPr="000E4173" w:rsidTr="00534AD0">
        <w:trPr>
          <w:trHeight w:val="300"/>
          <w:jc w:val="center"/>
        </w:trPr>
        <w:tc>
          <w:tcPr>
            <w:tcW w:w="1300" w:type="dxa"/>
            <w:tcBorders>
              <w:top w:val="nil"/>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Comp10</w:t>
            </w:r>
          </w:p>
        </w:tc>
        <w:tc>
          <w:tcPr>
            <w:tcW w:w="1085" w:type="dxa"/>
            <w:tcBorders>
              <w:top w:val="nil"/>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0.0251</w:t>
            </w:r>
          </w:p>
        </w:tc>
        <w:tc>
          <w:tcPr>
            <w:tcW w:w="1029" w:type="dxa"/>
            <w:tcBorders>
              <w:top w:val="nil"/>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w:t>
            </w:r>
          </w:p>
        </w:tc>
        <w:tc>
          <w:tcPr>
            <w:tcW w:w="1085" w:type="dxa"/>
            <w:tcBorders>
              <w:top w:val="nil"/>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0.0025</w:t>
            </w:r>
          </w:p>
        </w:tc>
        <w:tc>
          <w:tcPr>
            <w:tcW w:w="1140" w:type="dxa"/>
            <w:tcBorders>
              <w:top w:val="nil"/>
              <w:left w:val="nil"/>
              <w:bottom w:val="single" w:sz="4" w:space="0" w:color="auto"/>
              <w:right w:val="nil"/>
            </w:tcBorders>
            <w:shd w:val="clear" w:color="000000" w:fill="FFFFFF"/>
            <w:noWrap/>
            <w:vAlign w:val="bottom"/>
            <w:hideMark/>
          </w:tcPr>
          <w:p w:rsidR="00534AD0" w:rsidRPr="0003170B" w:rsidRDefault="00534AD0" w:rsidP="00534AD0">
            <w:pPr>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1.0000</w:t>
            </w:r>
          </w:p>
        </w:tc>
      </w:tr>
    </w:tbl>
    <w:p w:rsidR="006F2841" w:rsidRPr="000E4173" w:rsidRDefault="00534AD0" w:rsidP="00534AD0">
      <w:pPr>
        <w:spacing w:after="0" w:line="480" w:lineRule="auto"/>
        <w:jc w:val="center"/>
        <w:rPr>
          <w:rFonts w:ascii="Arial" w:hAnsi="Arial" w:cs="Arial"/>
          <w:i/>
          <w:sz w:val="18"/>
          <w:szCs w:val="18"/>
        </w:rPr>
      </w:pPr>
      <w:r w:rsidRPr="000E4173">
        <w:rPr>
          <w:rFonts w:ascii="Arial" w:hAnsi="Arial" w:cs="Arial"/>
          <w:i/>
          <w:sz w:val="18"/>
          <w:szCs w:val="18"/>
        </w:rPr>
        <w:t>Elaboración propia en base a software Stata</w:t>
      </w:r>
    </w:p>
    <w:p w:rsidR="006F2841" w:rsidRDefault="0013416F" w:rsidP="000E4173">
      <w:pPr>
        <w:spacing w:after="0" w:line="360" w:lineRule="auto"/>
        <w:jc w:val="both"/>
        <w:rPr>
          <w:rFonts w:ascii="Arial" w:hAnsi="Arial" w:cs="Arial"/>
        </w:rPr>
      </w:pPr>
      <w:r w:rsidRPr="000E4173">
        <w:rPr>
          <w:rFonts w:ascii="Arial" w:hAnsi="Arial" w:cs="Arial"/>
        </w:rPr>
        <w:t>Estos guarismos permiten vislumb</w:t>
      </w:r>
      <w:r w:rsidR="00534AD0" w:rsidRPr="000E4173">
        <w:rPr>
          <w:rFonts w:ascii="Arial" w:hAnsi="Arial" w:cs="Arial"/>
        </w:rPr>
        <w:t>rar que un 37,2</w:t>
      </w:r>
      <w:r w:rsidRPr="000E4173">
        <w:rPr>
          <w:rFonts w:ascii="Arial" w:hAnsi="Arial" w:cs="Arial"/>
        </w:rPr>
        <w:t>% de la varianza se encuen</w:t>
      </w:r>
      <w:r w:rsidR="006F2841" w:rsidRPr="000E4173">
        <w:rPr>
          <w:rFonts w:ascii="Arial" w:hAnsi="Arial" w:cs="Arial"/>
        </w:rPr>
        <w:t xml:space="preserve">tra explicada por el primer CP. Asimismo, si se </w:t>
      </w:r>
      <w:r w:rsidR="00534AD0" w:rsidRPr="000E4173">
        <w:rPr>
          <w:rFonts w:ascii="Arial" w:hAnsi="Arial" w:cs="Arial"/>
        </w:rPr>
        <w:t>añade</w:t>
      </w:r>
      <w:r w:rsidR="006F2841" w:rsidRPr="000E4173">
        <w:rPr>
          <w:rFonts w:ascii="Arial" w:hAnsi="Arial" w:cs="Arial"/>
        </w:rPr>
        <w:t xml:space="preserve"> la variabilidad explicada por los siguientes CP se aprecia que, entre los cuatro primeros factores,</w:t>
      </w:r>
      <w:r w:rsidR="00534AD0" w:rsidRPr="000E4173">
        <w:rPr>
          <w:rFonts w:ascii="Arial" w:hAnsi="Arial" w:cs="Arial"/>
        </w:rPr>
        <w:t xml:space="preserve"> se alcanza un porcentaje del 81,5</w:t>
      </w:r>
      <w:r w:rsidR="006F2841" w:rsidRPr="000E4173">
        <w:rPr>
          <w:rFonts w:ascii="Arial" w:hAnsi="Arial" w:cs="Arial"/>
        </w:rPr>
        <w:t xml:space="preserve">%. Tal como señala la OECD, no existe un criterio único para determinar el número de factores a conservar. Una de las posibilidades, que es la que se elige en este trabajo, es precisamente la de descartar los últimos </w:t>
      </w:r>
      <w:r w:rsidR="00534AD0" w:rsidRPr="000E4173">
        <w:rPr>
          <w:rFonts w:ascii="Arial" w:hAnsi="Arial" w:cs="Arial"/>
        </w:rPr>
        <w:t>seis</w:t>
      </w:r>
      <w:r w:rsidR="006F2841" w:rsidRPr="000E4173">
        <w:rPr>
          <w:rFonts w:ascii="Arial" w:hAnsi="Arial" w:cs="Arial"/>
        </w:rPr>
        <w:t xml:space="preserve"> componentes ya que</w:t>
      </w:r>
      <w:r w:rsidR="00534AD0" w:rsidRPr="000E4173">
        <w:rPr>
          <w:rFonts w:ascii="Arial" w:hAnsi="Arial" w:cs="Arial"/>
        </w:rPr>
        <w:t xml:space="preserve"> su</w:t>
      </w:r>
      <w:r w:rsidR="006F2841" w:rsidRPr="000E4173">
        <w:rPr>
          <w:rFonts w:ascii="Arial" w:hAnsi="Arial" w:cs="Arial"/>
        </w:rPr>
        <w:t xml:space="preserve"> contribución individual a la explicación de la varianza es menor al 10% y los valores propios correspondientes se encuentran muy lejanos </w:t>
      </w:r>
      <w:r w:rsidR="00795F5F" w:rsidRPr="000E4173">
        <w:rPr>
          <w:rFonts w:ascii="Arial" w:hAnsi="Arial" w:cs="Arial"/>
        </w:rPr>
        <w:t>de</w:t>
      </w:r>
      <w:r w:rsidR="006F2841" w:rsidRPr="000E4173">
        <w:rPr>
          <w:rFonts w:ascii="Arial" w:hAnsi="Arial" w:cs="Arial"/>
        </w:rPr>
        <w:t xml:space="preserve"> la unidad. </w:t>
      </w:r>
    </w:p>
    <w:p w:rsidR="00FA26DF" w:rsidRPr="000E4173" w:rsidRDefault="00FA26DF" w:rsidP="000E4173">
      <w:pPr>
        <w:spacing w:after="0" w:line="360" w:lineRule="auto"/>
        <w:jc w:val="both"/>
        <w:rPr>
          <w:rFonts w:ascii="Arial" w:hAnsi="Arial" w:cs="Arial"/>
        </w:rPr>
      </w:pPr>
    </w:p>
    <w:p w:rsidR="00E45C0B" w:rsidRDefault="000B3607" w:rsidP="0084386F">
      <w:pPr>
        <w:spacing w:after="0" w:line="360" w:lineRule="auto"/>
        <w:jc w:val="both"/>
        <w:rPr>
          <w:rFonts w:ascii="Arial" w:hAnsi="Arial" w:cs="Arial"/>
        </w:rPr>
      </w:pPr>
      <w:r w:rsidRPr="000E4173">
        <w:rPr>
          <w:rFonts w:ascii="Arial" w:hAnsi="Arial" w:cs="Arial"/>
        </w:rPr>
        <w:t xml:space="preserve">Por otro lado, se presenta en la Tabla </w:t>
      </w:r>
      <w:r w:rsidR="00795F5F" w:rsidRPr="000E4173">
        <w:rPr>
          <w:rFonts w:ascii="Arial" w:hAnsi="Arial" w:cs="Arial"/>
        </w:rPr>
        <w:t>5</w:t>
      </w:r>
      <w:r w:rsidRPr="000E4173">
        <w:rPr>
          <w:rFonts w:ascii="Arial" w:hAnsi="Arial" w:cs="Arial"/>
        </w:rPr>
        <w:t xml:space="preserve"> la denominada matriz </w:t>
      </w:r>
      <w:r w:rsidRPr="000E4173">
        <w:rPr>
          <w:rFonts w:ascii="Arial" w:hAnsi="Arial" w:cs="Arial"/>
          <w:i/>
        </w:rPr>
        <w:t>loading</w:t>
      </w:r>
      <w:r w:rsidR="00795F5F" w:rsidRPr="000E4173">
        <w:rPr>
          <w:rFonts w:ascii="Arial" w:hAnsi="Arial" w:cs="Arial"/>
          <w:i/>
        </w:rPr>
        <w:t>,</w:t>
      </w:r>
      <w:r w:rsidR="00771E10">
        <w:rPr>
          <w:rFonts w:ascii="Arial" w:hAnsi="Arial" w:cs="Arial"/>
          <w:i/>
        </w:rPr>
        <w:t xml:space="preserve"> </w:t>
      </w:r>
      <w:r w:rsidRPr="000E4173">
        <w:rPr>
          <w:rFonts w:ascii="Arial" w:hAnsi="Arial" w:cs="Arial"/>
        </w:rPr>
        <w:t xml:space="preserve">que contiene los coeficientes de correlación entre los componentes principales calculados y los indicadores individuales originales. El cuadrado de estos coeficientes representa la proporción de la varianza de una variable o indicador individual que resulta susceptible de ser explicada por el CP correspondiente.  </w:t>
      </w:r>
    </w:p>
    <w:p w:rsidR="00FA26DF" w:rsidRPr="0084386F" w:rsidRDefault="00FA26DF" w:rsidP="0084386F">
      <w:pPr>
        <w:spacing w:after="0" w:line="360" w:lineRule="auto"/>
        <w:jc w:val="both"/>
        <w:rPr>
          <w:rFonts w:ascii="Arial" w:hAnsi="Arial" w:cs="Arial"/>
        </w:rPr>
      </w:pPr>
    </w:p>
    <w:p w:rsidR="000B3607" w:rsidRPr="000E4173" w:rsidRDefault="000B3607" w:rsidP="000E4173">
      <w:pPr>
        <w:pStyle w:val="Epgrafe"/>
        <w:keepNext/>
        <w:spacing w:after="0"/>
        <w:jc w:val="center"/>
        <w:rPr>
          <w:rFonts w:ascii="Arial" w:hAnsi="Arial" w:cs="Arial"/>
          <w:b/>
          <w:i w:val="0"/>
          <w:color w:val="auto"/>
          <w:sz w:val="22"/>
          <w:szCs w:val="22"/>
        </w:rPr>
      </w:pPr>
      <w:r w:rsidRPr="000E4173">
        <w:rPr>
          <w:rFonts w:ascii="Arial" w:hAnsi="Arial" w:cs="Arial"/>
          <w:b/>
          <w:i w:val="0"/>
          <w:color w:val="auto"/>
          <w:sz w:val="22"/>
          <w:szCs w:val="22"/>
        </w:rPr>
        <w:t xml:space="preserve">Tabla </w:t>
      </w:r>
      <w:r w:rsidR="00E17F18" w:rsidRPr="000E4173">
        <w:rPr>
          <w:rFonts w:ascii="Arial" w:hAnsi="Arial" w:cs="Arial"/>
          <w:b/>
          <w:i w:val="0"/>
          <w:color w:val="auto"/>
          <w:sz w:val="22"/>
          <w:szCs w:val="22"/>
        </w:rPr>
        <w:fldChar w:fldCharType="begin"/>
      </w:r>
      <w:r w:rsidR="00A13B3B" w:rsidRPr="000E4173">
        <w:rPr>
          <w:rFonts w:ascii="Arial" w:hAnsi="Arial" w:cs="Arial"/>
          <w:b/>
          <w:i w:val="0"/>
          <w:color w:val="auto"/>
          <w:sz w:val="22"/>
          <w:szCs w:val="22"/>
        </w:rPr>
        <w:instrText xml:space="preserve"> SEQ Tabla \* ARABIC </w:instrText>
      </w:r>
      <w:r w:rsidR="00E17F18" w:rsidRPr="000E4173">
        <w:rPr>
          <w:rFonts w:ascii="Arial" w:hAnsi="Arial" w:cs="Arial"/>
          <w:b/>
          <w:i w:val="0"/>
          <w:color w:val="auto"/>
          <w:sz w:val="22"/>
          <w:szCs w:val="22"/>
        </w:rPr>
        <w:fldChar w:fldCharType="separate"/>
      </w:r>
      <w:r w:rsidR="0084386F">
        <w:rPr>
          <w:rFonts w:ascii="Arial" w:hAnsi="Arial" w:cs="Arial"/>
          <w:b/>
          <w:i w:val="0"/>
          <w:noProof/>
          <w:color w:val="auto"/>
          <w:sz w:val="22"/>
          <w:szCs w:val="22"/>
        </w:rPr>
        <w:t>5</w:t>
      </w:r>
      <w:r w:rsidR="00E17F18" w:rsidRPr="000E4173">
        <w:rPr>
          <w:rFonts w:ascii="Arial" w:hAnsi="Arial" w:cs="Arial"/>
          <w:b/>
          <w:i w:val="0"/>
          <w:color w:val="auto"/>
          <w:sz w:val="22"/>
          <w:szCs w:val="22"/>
        </w:rPr>
        <w:fldChar w:fldCharType="end"/>
      </w:r>
      <w:r w:rsidRPr="000E4173">
        <w:rPr>
          <w:rFonts w:ascii="Arial" w:hAnsi="Arial" w:cs="Arial"/>
          <w:b/>
          <w:i w:val="0"/>
          <w:color w:val="auto"/>
          <w:sz w:val="22"/>
          <w:szCs w:val="22"/>
        </w:rPr>
        <w:t>: Matriz de correlación entre indicadores y componentes principales (</w:t>
      </w:r>
      <w:r w:rsidRPr="000E4173">
        <w:rPr>
          <w:rFonts w:ascii="Arial" w:hAnsi="Arial" w:cs="Arial"/>
          <w:b/>
          <w:color w:val="auto"/>
          <w:sz w:val="22"/>
          <w:szCs w:val="22"/>
        </w:rPr>
        <w:t>loading</w:t>
      </w:r>
      <w:r w:rsidRPr="000E4173">
        <w:rPr>
          <w:rFonts w:ascii="Arial" w:hAnsi="Arial" w:cs="Arial"/>
          <w:b/>
          <w:i w:val="0"/>
          <w:color w:val="auto"/>
          <w:sz w:val="22"/>
          <w:szCs w:val="22"/>
        </w:rPr>
        <w:t>)</w:t>
      </w:r>
    </w:p>
    <w:tbl>
      <w:tblPr>
        <w:tblW w:w="8900" w:type="dxa"/>
        <w:jc w:val="center"/>
        <w:tblCellMar>
          <w:left w:w="70" w:type="dxa"/>
          <w:right w:w="70" w:type="dxa"/>
        </w:tblCellMar>
        <w:tblLook w:val="04A0" w:firstRow="1" w:lastRow="0" w:firstColumn="1" w:lastColumn="0" w:noHBand="0" w:noVBand="1"/>
      </w:tblPr>
      <w:tblGrid>
        <w:gridCol w:w="1300"/>
        <w:gridCol w:w="760"/>
        <w:gridCol w:w="760"/>
        <w:gridCol w:w="760"/>
        <w:gridCol w:w="760"/>
        <w:gridCol w:w="760"/>
        <w:gridCol w:w="760"/>
        <w:gridCol w:w="760"/>
        <w:gridCol w:w="760"/>
        <w:gridCol w:w="760"/>
        <w:gridCol w:w="760"/>
      </w:tblGrid>
      <w:tr w:rsidR="00BD0E41" w:rsidRPr="000E4173" w:rsidTr="00BD0E41">
        <w:trPr>
          <w:trHeight w:val="300"/>
          <w:jc w:val="center"/>
        </w:trPr>
        <w:tc>
          <w:tcPr>
            <w:tcW w:w="1300" w:type="dxa"/>
            <w:tcBorders>
              <w:top w:val="single" w:sz="4" w:space="0" w:color="auto"/>
              <w:left w:val="nil"/>
              <w:bottom w:val="single" w:sz="4" w:space="0" w:color="auto"/>
              <w:right w:val="nil"/>
            </w:tcBorders>
            <w:shd w:val="clear" w:color="000000" w:fill="FFFFFF"/>
            <w:noWrap/>
            <w:vAlign w:val="bottom"/>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 </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Z1</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Z2</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Z3</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Z4</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Z5</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Z6</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Z7</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Z8</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Z9</w:t>
            </w:r>
          </w:p>
        </w:tc>
        <w:tc>
          <w:tcPr>
            <w:tcW w:w="760" w:type="dxa"/>
            <w:tcBorders>
              <w:top w:val="single" w:sz="4" w:space="0" w:color="auto"/>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b/>
                <w:bCs/>
                <w:color w:val="000000"/>
                <w:sz w:val="18"/>
                <w:szCs w:val="18"/>
                <w:lang w:val="es-AR" w:eastAsia="es-AR"/>
              </w:rPr>
            </w:pPr>
            <w:r w:rsidRPr="0003170B">
              <w:rPr>
                <w:rFonts w:ascii="Arial" w:eastAsia="Times New Roman" w:hAnsi="Arial" w:cs="Arial"/>
                <w:b/>
                <w:bCs/>
                <w:color w:val="000000"/>
                <w:sz w:val="18"/>
                <w:szCs w:val="18"/>
                <w:lang w:val="es-AR" w:eastAsia="es-AR"/>
              </w:rPr>
              <w:t>Z10</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PERS</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0.72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-0.42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0.11</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0.31</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0.07</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RESCOR</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-0.30</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-0.07</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-0.16</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0.08</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TRANSF</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-0.65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0.36</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0.45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-0.17</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0.19</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0.09</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0.08</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0.00</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DEUDA</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-0.18</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0.28</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0.29</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-0.19</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-0.21</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-0.21</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-0.07</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0.89</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0.06</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0.17</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-0.27</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0.16</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0.08</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RESFIN</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-0.40</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0.16</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0.01</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0.10</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0.18</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-0.06</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TRANSP</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-0.26</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-0.68</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0.60</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0.01</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0.16</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0.02</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SERVD</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0.17</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0.10</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0.20</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-0.17</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0.44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0.08</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-0.01</w:t>
            </w:r>
          </w:p>
        </w:tc>
      </w:tr>
      <w:tr w:rsidR="00BD0E41" w:rsidRPr="000E4173" w:rsidTr="00BD0E41">
        <w:trPr>
          <w:trHeight w:val="300"/>
          <w:jc w:val="center"/>
        </w:trPr>
        <w:tc>
          <w:tcPr>
            <w:tcW w:w="1300" w:type="dxa"/>
            <w:tcBorders>
              <w:top w:val="nil"/>
              <w:left w:val="nil"/>
              <w:bottom w:val="nil"/>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IIBB</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0.42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0.82</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0.35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0.14</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-0.05</w:t>
            </w:r>
          </w:p>
        </w:tc>
        <w:tc>
          <w:tcPr>
            <w:tcW w:w="760" w:type="dxa"/>
            <w:tcBorders>
              <w:top w:val="nil"/>
              <w:left w:val="nil"/>
              <w:bottom w:val="nil"/>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r>
      <w:tr w:rsidR="00BD0E41" w:rsidRPr="000E4173" w:rsidTr="00BD0E41">
        <w:trPr>
          <w:trHeight w:val="300"/>
          <w:jc w:val="center"/>
        </w:trPr>
        <w:tc>
          <w:tcPr>
            <w:tcW w:w="1300" w:type="dxa"/>
            <w:tcBorders>
              <w:top w:val="nil"/>
              <w:left w:val="nil"/>
              <w:bottom w:val="single" w:sz="4" w:space="0" w:color="auto"/>
              <w:right w:val="nil"/>
            </w:tcBorders>
            <w:shd w:val="clear" w:color="000000" w:fill="FFFFFF"/>
            <w:noWrap/>
            <w:vAlign w:val="center"/>
            <w:hideMark/>
          </w:tcPr>
          <w:p w:rsidR="00BD0E41" w:rsidRPr="000E4173" w:rsidRDefault="00BD0E41" w:rsidP="000E4173">
            <w:pPr>
              <w:keepNext/>
              <w:spacing w:after="0" w:line="240" w:lineRule="auto"/>
              <w:rPr>
                <w:rFonts w:ascii="Arial" w:eastAsia="Times New Roman" w:hAnsi="Arial" w:cs="Arial"/>
                <w:b/>
                <w:bCs/>
                <w:color w:val="000000"/>
                <w:sz w:val="18"/>
                <w:szCs w:val="18"/>
                <w:lang w:val="es-AR" w:eastAsia="es-AR"/>
              </w:rPr>
            </w:pPr>
            <w:r w:rsidRPr="000E4173">
              <w:rPr>
                <w:rFonts w:ascii="Arial" w:eastAsia="Times New Roman" w:hAnsi="Arial" w:cs="Arial"/>
                <w:b/>
                <w:bCs/>
                <w:color w:val="000000"/>
                <w:sz w:val="18"/>
                <w:szCs w:val="18"/>
                <w:lang w:val="es-AR" w:eastAsia="es-AR"/>
              </w:rPr>
              <w:t>PT</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0.19</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0.77</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0.29</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0.48</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-0.25</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0.04</w:t>
            </w:r>
          </w:p>
        </w:tc>
        <w:tc>
          <w:tcPr>
            <w:tcW w:w="760" w:type="dxa"/>
            <w:tcBorders>
              <w:top w:val="nil"/>
              <w:left w:val="nil"/>
              <w:bottom w:val="single" w:sz="4" w:space="0" w:color="auto"/>
              <w:right w:val="nil"/>
            </w:tcBorders>
            <w:shd w:val="clear" w:color="000000" w:fill="FFFFFF"/>
            <w:noWrap/>
            <w:vAlign w:val="bottom"/>
            <w:hideMark/>
          </w:tcPr>
          <w:p w:rsidR="00BD0E41" w:rsidRPr="0003170B" w:rsidRDefault="00BD0E41" w:rsidP="000E4173">
            <w:pPr>
              <w:keepNext/>
              <w:spacing w:after="0" w:line="240" w:lineRule="auto"/>
              <w:jc w:val="center"/>
              <w:rPr>
                <w:rFonts w:ascii="Arial" w:eastAsia="Times New Roman" w:hAnsi="Arial" w:cs="Arial"/>
                <w:color w:val="000000"/>
                <w:sz w:val="18"/>
                <w:szCs w:val="18"/>
                <w:lang w:val="es-AR" w:eastAsia="es-AR"/>
              </w:rPr>
            </w:pPr>
            <w:r w:rsidRPr="0003170B">
              <w:rPr>
                <w:rFonts w:ascii="Arial" w:eastAsia="Times New Roman" w:hAnsi="Arial" w:cs="Arial"/>
                <w:color w:val="000000"/>
                <w:sz w:val="18"/>
                <w:szCs w:val="18"/>
                <w:lang w:val="es-AR" w:eastAsia="es-AR"/>
              </w:rPr>
              <w:t>-0.03</w:t>
            </w:r>
          </w:p>
        </w:tc>
      </w:tr>
    </w:tbl>
    <w:p w:rsidR="00BD0E41" w:rsidRPr="000E4173" w:rsidRDefault="00BD0E41" w:rsidP="00BD0E41">
      <w:pPr>
        <w:spacing w:after="0" w:line="480" w:lineRule="auto"/>
        <w:jc w:val="center"/>
        <w:rPr>
          <w:rFonts w:ascii="Arial" w:hAnsi="Arial" w:cs="Arial"/>
          <w:i/>
          <w:sz w:val="18"/>
          <w:szCs w:val="18"/>
        </w:rPr>
      </w:pPr>
      <w:r w:rsidRPr="000E4173">
        <w:rPr>
          <w:rFonts w:ascii="Arial" w:hAnsi="Arial" w:cs="Arial"/>
          <w:i/>
          <w:sz w:val="18"/>
          <w:szCs w:val="18"/>
        </w:rPr>
        <w:t>Elaboración propia en base a software Stata</w:t>
      </w:r>
    </w:p>
    <w:p w:rsidR="000777C9" w:rsidRPr="000777C9" w:rsidRDefault="000777C9" w:rsidP="00BD0E41">
      <w:pPr>
        <w:spacing w:after="0" w:line="480" w:lineRule="auto"/>
        <w:rPr>
          <w:rFonts w:ascii="Times New Roman" w:hAnsi="Times New Roman" w:cs="Times New Roman"/>
          <w:i/>
          <w:sz w:val="18"/>
          <w:szCs w:val="18"/>
        </w:rPr>
      </w:pPr>
    </w:p>
    <w:p w:rsidR="00793D77" w:rsidRDefault="000B3607" w:rsidP="0084386F">
      <w:pPr>
        <w:spacing w:after="0" w:line="360" w:lineRule="auto"/>
        <w:jc w:val="both"/>
        <w:rPr>
          <w:rFonts w:ascii="Arial" w:hAnsi="Arial" w:cs="Arial"/>
        </w:rPr>
      </w:pPr>
      <w:r w:rsidRPr="000E4173">
        <w:rPr>
          <w:rFonts w:ascii="Arial" w:hAnsi="Arial" w:cs="Arial"/>
        </w:rPr>
        <w:t xml:space="preserve">La práctica habitual </w:t>
      </w:r>
      <w:r w:rsidR="006F2841" w:rsidRPr="000E4173">
        <w:rPr>
          <w:rFonts w:ascii="Arial" w:hAnsi="Arial" w:cs="Arial"/>
        </w:rPr>
        <w:t>sugiere implementar un proceso de</w:t>
      </w:r>
      <w:r w:rsidRPr="000E4173">
        <w:rPr>
          <w:rFonts w:ascii="Arial" w:hAnsi="Arial" w:cs="Arial"/>
        </w:rPr>
        <w:t xml:space="preserve"> rotación de esta última</w:t>
      </w:r>
      <w:r w:rsidR="006F2841" w:rsidRPr="000E4173">
        <w:rPr>
          <w:rFonts w:ascii="Arial" w:hAnsi="Arial" w:cs="Arial"/>
        </w:rPr>
        <w:t xml:space="preserve"> matriz </w:t>
      </w:r>
      <w:r w:rsidRPr="000E4173">
        <w:rPr>
          <w:rFonts w:ascii="Arial" w:hAnsi="Arial" w:cs="Arial"/>
        </w:rPr>
        <w:t>con e</w:t>
      </w:r>
      <w:r w:rsidR="006F2841" w:rsidRPr="000E4173">
        <w:rPr>
          <w:rFonts w:ascii="Arial" w:hAnsi="Arial" w:cs="Arial"/>
        </w:rPr>
        <w:t xml:space="preserve">l objetivo </w:t>
      </w:r>
      <w:r w:rsidRPr="000E4173">
        <w:rPr>
          <w:rFonts w:ascii="Arial" w:hAnsi="Arial" w:cs="Arial"/>
        </w:rPr>
        <w:t>de</w:t>
      </w:r>
      <w:r w:rsidR="006F2841" w:rsidRPr="000E4173">
        <w:rPr>
          <w:rFonts w:ascii="Arial" w:hAnsi="Arial" w:cs="Arial"/>
        </w:rPr>
        <w:t xml:space="preserve"> minimizar el número de indicadores que posean una elevada influencia en el cómputo de un CP determinado. </w:t>
      </w:r>
      <w:r w:rsidR="0091129E" w:rsidRPr="000E4173">
        <w:rPr>
          <w:rFonts w:ascii="Arial" w:hAnsi="Arial" w:cs="Arial"/>
        </w:rPr>
        <w:t xml:space="preserve">Si se implementa la técnica </w:t>
      </w:r>
      <w:r w:rsidR="0091129E" w:rsidRPr="000E4173">
        <w:rPr>
          <w:rFonts w:ascii="Arial" w:hAnsi="Arial" w:cs="Arial"/>
          <w:i/>
        </w:rPr>
        <w:t>varimax</w:t>
      </w:r>
      <w:r w:rsidR="0091129E" w:rsidRPr="000E4173">
        <w:rPr>
          <w:rFonts w:ascii="Arial" w:hAnsi="Arial" w:cs="Arial"/>
        </w:rPr>
        <w:t xml:space="preserve">, </w:t>
      </w:r>
      <w:r w:rsidR="000777C9" w:rsidRPr="000E4173">
        <w:rPr>
          <w:rFonts w:ascii="Arial" w:hAnsi="Arial" w:cs="Arial"/>
        </w:rPr>
        <w:t xml:space="preserve">la nueva matriz </w:t>
      </w:r>
      <w:r w:rsidR="000777C9" w:rsidRPr="000E4173">
        <w:rPr>
          <w:rFonts w:ascii="Arial" w:hAnsi="Arial" w:cs="Arial"/>
          <w:i/>
        </w:rPr>
        <w:t>loading</w:t>
      </w:r>
      <w:r w:rsidR="00D26DAD">
        <w:rPr>
          <w:rFonts w:ascii="Arial" w:hAnsi="Arial" w:cs="Arial"/>
          <w:i/>
        </w:rPr>
        <w:t xml:space="preserve"> </w:t>
      </w:r>
      <w:r w:rsidR="000777C9" w:rsidRPr="000E4173">
        <w:rPr>
          <w:rFonts w:ascii="Arial" w:hAnsi="Arial" w:cs="Arial"/>
        </w:rPr>
        <w:t>adquie</w:t>
      </w:r>
      <w:r w:rsidR="00BD0E41" w:rsidRPr="000E4173">
        <w:rPr>
          <w:rFonts w:ascii="Arial" w:hAnsi="Arial" w:cs="Arial"/>
        </w:rPr>
        <w:t xml:space="preserve">re una forma como la que sigue: </w:t>
      </w:r>
    </w:p>
    <w:p w:rsidR="0084386F" w:rsidRPr="0084386F" w:rsidRDefault="0084386F" w:rsidP="0084386F">
      <w:pPr>
        <w:spacing w:after="0" w:line="360" w:lineRule="auto"/>
        <w:jc w:val="both"/>
        <w:rPr>
          <w:rFonts w:ascii="Arial" w:hAnsi="Arial" w:cs="Arial"/>
        </w:rPr>
      </w:pPr>
    </w:p>
    <w:p w:rsidR="000777C9" w:rsidRPr="000E4173" w:rsidRDefault="000777C9" w:rsidP="000777C9">
      <w:pPr>
        <w:pStyle w:val="Epgrafe"/>
        <w:keepNext/>
        <w:jc w:val="center"/>
        <w:rPr>
          <w:rFonts w:ascii="Arial" w:hAnsi="Arial" w:cs="Arial"/>
          <w:b/>
          <w:i w:val="0"/>
          <w:color w:val="auto"/>
          <w:sz w:val="22"/>
          <w:szCs w:val="22"/>
        </w:rPr>
      </w:pPr>
      <w:r w:rsidRPr="000E4173">
        <w:rPr>
          <w:rFonts w:ascii="Arial" w:hAnsi="Arial" w:cs="Arial"/>
          <w:b/>
          <w:i w:val="0"/>
          <w:color w:val="auto"/>
          <w:sz w:val="22"/>
          <w:szCs w:val="22"/>
        </w:rPr>
        <w:t xml:space="preserve">Tabla </w:t>
      </w:r>
      <w:r w:rsidR="00E17F18" w:rsidRPr="000E4173">
        <w:rPr>
          <w:rFonts w:ascii="Arial" w:hAnsi="Arial" w:cs="Arial"/>
          <w:b/>
          <w:i w:val="0"/>
          <w:color w:val="auto"/>
          <w:sz w:val="22"/>
          <w:szCs w:val="22"/>
        </w:rPr>
        <w:fldChar w:fldCharType="begin"/>
      </w:r>
      <w:r w:rsidR="00A13B3B" w:rsidRPr="000E4173">
        <w:rPr>
          <w:rFonts w:ascii="Arial" w:hAnsi="Arial" w:cs="Arial"/>
          <w:b/>
          <w:i w:val="0"/>
          <w:color w:val="auto"/>
          <w:sz w:val="22"/>
          <w:szCs w:val="22"/>
        </w:rPr>
        <w:instrText xml:space="preserve"> SEQ Tabla \* ARABIC </w:instrText>
      </w:r>
      <w:r w:rsidR="00E17F18" w:rsidRPr="000E4173">
        <w:rPr>
          <w:rFonts w:ascii="Arial" w:hAnsi="Arial" w:cs="Arial"/>
          <w:b/>
          <w:i w:val="0"/>
          <w:color w:val="auto"/>
          <w:sz w:val="22"/>
          <w:szCs w:val="22"/>
        </w:rPr>
        <w:fldChar w:fldCharType="separate"/>
      </w:r>
      <w:r w:rsidR="0084386F">
        <w:rPr>
          <w:rFonts w:ascii="Arial" w:hAnsi="Arial" w:cs="Arial"/>
          <w:b/>
          <w:i w:val="0"/>
          <w:noProof/>
          <w:color w:val="auto"/>
          <w:sz w:val="22"/>
          <w:szCs w:val="22"/>
        </w:rPr>
        <w:t>6</w:t>
      </w:r>
      <w:r w:rsidR="00E17F18" w:rsidRPr="000E4173">
        <w:rPr>
          <w:rFonts w:ascii="Arial" w:hAnsi="Arial" w:cs="Arial"/>
          <w:b/>
          <w:i w:val="0"/>
          <w:color w:val="auto"/>
          <w:sz w:val="22"/>
          <w:szCs w:val="22"/>
        </w:rPr>
        <w:fldChar w:fldCharType="end"/>
      </w:r>
      <w:r w:rsidRPr="000E4173">
        <w:rPr>
          <w:rFonts w:ascii="Arial" w:hAnsi="Arial" w:cs="Arial"/>
          <w:b/>
          <w:i w:val="0"/>
          <w:color w:val="auto"/>
          <w:sz w:val="22"/>
          <w:szCs w:val="22"/>
        </w:rPr>
        <w:t xml:space="preserve">: Matriz </w:t>
      </w:r>
      <w:r w:rsidRPr="000E4173">
        <w:rPr>
          <w:rFonts w:ascii="Arial" w:hAnsi="Arial" w:cs="Arial"/>
          <w:b/>
          <w:color w:val="auto"/>
          <w:sz w:val="22"/>
          <w:szCs w:val="22"/>
        </w:rPr>
        <w:t>loading</w:t>
      </w:r>
      <w:r w:rsidRPr="000E4173">
        <w:rPr>
          <w:rFonts w:ascii="Arial" w:hAnsi="Arial" w:cs="Arial"/>
          <w:b/>
          <w:i w:val="0"/>
          <w:color w:val="auto"/>
          <w:sz w:val="22"/>
          <w:szCs w:val="22"/>
        </w:rPr>
        <w:t xml:space="preserve"> rotada</w:t>
      </w:r>
    </w:p>
    <w:tbl>
      <w:tblPr>
        <w:tblW w:w="9508" w:type="dxa"/>
        <w:jc w:val="center"/>
        <w:tblCellMar>
          <w:left w:w="70" w:type="dxa"/>
          <w:right w:w="70" w:type="dxa"/>
        </w:tblCellMar>
        <w:tblLook w:val="04A0" w:firstRow="1" w:lastRow="0" w:firstColumn="1" w:lastColumn="0" w:noHBand="0" w:noVBand="1"/>
      </w:tblPr>
      <w:tblGrid>
        <w:gridCol w:w="1298"/>
        <w:gridCol w:w="821"/>
        <w:gridCol w:w="821"/>
        <w:gridCol w:w="821"/>
        <w:gridCol w:w="821"/>
        <w:gridCol w:w="821"/>
        <w:gridCol w:w="821"/>
        <w:gridCol w:w="821"/>
        <w:gridCol w:w="821"/>
        <w:gridCol w:w="821"/>
        <w:gridCol w:w="821"/>
      </w:tblGrid>
      <w:tr w:rsidR="00CA6807" w:rsidRPr="00771E10" w:rsidTr="00CA6807">
        <w:trPr>
          <w:trHeight w:val="300"/>
          <w:jc w:val="center"/>
        </w:trPr>
        <w:tc>
          <w:tcPr>
            <w:tcW w:w="1298"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 </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Z1</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Z2</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Z3</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Z4</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Z5</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Z6</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Z7</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Z8</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Z9</w:t>
            </w:r>
          </w:p>
        </w:tc>
        <w:tc>
          <w:tcPr>
            <w:tcW w:w="821" w:type="dxa"/>
            <w:tcBorders>
              <w:top w:val="single" w:sz="4" w:space="0" w:color="auto"/>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Z10</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PERS</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0.70**</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-0.23</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-0.52*</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-0.30</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0.12</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0.31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RESCOR</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0.87**</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-0.12</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0.34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-0.13</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-0.17</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0.08</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TRANSF</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-0.68**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0.51*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0.46*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-0.17</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0.20</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0.01</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DEUDA</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0.89**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-0.02</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0.40</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-0.20</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-0.03</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-0.08</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SERV</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0.88**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0.09</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RESFIN</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0.86**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-0.20</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-0.06</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TRANSP</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0.03</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0.94**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0.23</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0.17</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0.03</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SERVD</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0.11</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0.76**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0.45*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-0.02</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-0.01</w:t>
            </w:r>
          </w:p>
        </w:tc>
      </w:tr>
      <w:tr w:rsidR="00CA6807" w:rsidRPr="00771E10" w:rsidTr="00CA6807">
        <w:trPr>
          <w:trHeight w:val="300"/>
          <w:jc w:val="center"/>
        </w:trPr>
        <w:tc>
          <w:tcPr>
            <w:tcW w:w="1298" w:type="dxa"/>
            <w:tcBorders>
              <w:top w:val="nil"/>
              <w:left w:val="nil"/>
              <w:bottom w:val="nil"/>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IIBB</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0.09</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0.88**</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0.02</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-0.17</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0.03</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0.36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0.15</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-0.06</w:t>
            </w:r>
          </w:p>
        </w:tc>
        <w:tc>
          <w:tcPr>
            <w:tcW w:w="821" w:type="dxa"/>
            <w:tcBorders>
              <w:top w:val="nil"/>
              <w:left w:val="nil"/>
              <w:bottom w:val="nil"/>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r>
      <w:tr w:rsidR="00CA6807" w:rsidRPr="00771E10" w:rsidTr="00CA6807">
        <w:trPr>
          <w:trHeight w:val="300"/>
          <w:jc w:val="center"/>
        </w:trPr>
        <w:tc>
          <w:tcPr>
            <w:tcW w:w="1298" w:type="dxa"/>
            <w:tcBorders>
              <w:top w:val="nil"/>
              <w:left w:val="nil"/>
              <w:bottom w:val="single" w:sz="4" w:space="0" w:color="auto"/>
              <w:right w:val="nil"/>
            </w:tcBorders>
            <w:shd w:val="clear" w:color="000000" w:fill="FFFFFF"/>
            <w:noWrap/>
            <w:vAlign w:val="center"/>
            <w:hideMark/>
          </w:tcPr>
          <w:p w:rsidR="00CA6807" w:rsidRPr="00771E10" w:rsidRDefault="00CA6807" w:rsidP="00CA6807">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PT</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-0.02</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0.84**</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0.20</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0.22</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0.48*</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-0.03</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-0.25</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0.04</w:t>
            </w:r>
          </w:p>
        </w:tc>
        <w:tc>
          <w:tcPr>
            <w:tcW w:w="821" w:type="dxa"/>
            <w:tcBorders>
              <w:top w:val="nil"/>
              <w:left w:val="nil"/>
              <w:bottom w:val="single" w:sz="4" w:space="0" w:color="auto"/>
              <w:right w:val="nil"/>
            </w:tcBorders>
            <w:shd w:val="clear" w:color="000000" w:fill="FFFFFF"/>
            <w:noWrap/>
            <w:vAlign w:val="bottom"/>
            <w:hideMark/>
          </w:tcPr>
          <w:p w:rsidR="00CA6807" w:rsidRPr="00771E10" w:rsidRDefault="00CA6807" w:rsidP="00CA6807">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-0.03</w:t>
            </w:r>
          </w:p>
        </w:tc>
      </w:tr>
    </w:tbl>
    <w:p w:rsidR="00CA6807" w:rsidRPr="000E4173" w:rsidRDefault="00CA6807" w:rsidP="00CA6807">
      <w:pPr>
        <w:spacing w:after="0" w:line="240" w:lineRule="auto"/>
        <w:jc w:val="center"/>
        <w:rPr>
          <w:rFonts w:ascii="Arial" w:hAnsi="Arial" w:cs="Arial"/>
          <w:i/>
          <w:sz w:val="18"/>
          <w:szCs w:val="18"/>
        </w:rPr>
      </w:pPr>
      <w:r w:rsidRPr="000E4173">
        <w:rPr>
          <w:rFonts w:ascii="Arial" w:hAnsi="Arial" w:cs="Arial"/>
          <w:i/>
          <w:sz w:val="18"/>
          <w:szCs w:val="18"/>
        </w:rPr>
        <w:t>Elaboración propia en base a software Stata. *Significativo a un nivel del 95% **Significativo a un nivel del 99%</w:t>
      </w:r>
    </w:p>
    <w:p w:rsidR="000777C9" w:rsidRDefault="000777C9" w:rsidP="000777C9"/>
    <w:p w:rsidR="00A13B3B" w:rsidRDefault="00EE4B50" w:rsidP="0084386F">
      <w:pPr>
        <w:spacing w:after="0" w:line="360" w:lineRule="auto"/>
        <w:jc w:val="both"/>
        <w:rPr>
          <w:rFonts w:ascii="Arial" w:hAnsi="Arial" w:cs="Arial"/>
        </w:rPr>
      </w:pPr>
      <w:r w:rsidRPr="000E4173">
        <w:rPr>
          <w:rFonts w:ascii="Arial" w:hAnsi="Arial" w:cs="Arial"/>
        </w:rPr>
        <w:t>Por último, a fin de construir los ponderadores que se le asignarán a cada indicador para construir el IFF, se determinará la contribución de cada uno de los CP seleccionados a la variabilidad en los indicadores</w:t>
      </w:r>
      <w:r w:rsidR="00795F5F" w:rsidRPr="000E4173">
        <w:rPr>
          <w:rFonts w:ascii="Arial" w:hAnsi="Arial" w:cs="Arial"/>
        </w:rPr>
        <w:t>,</w:t>
      </w:r>
      <w:r w:rsidRPr="000E4173">
        <w:rPr>
          <w:rFonts w:ascii="Arial" w:hAnsi="Arial" w:cs="Arial"/>
        </w:rPr>
        <w:t xml:space="preserve"> que presenten una correlación significativa con el mismo</w:t>
      </w:r>
      <w:r w:rsidR="006D46B9" w:rsidRPr="000E4173">
        <w:rPr>
          <w:rFonts w:ascii="Arial" w:hAnsi="Arial" w:cs="Arial"/>
        </w:rPr>
        <w:t xml:space="preserve"> (considerando </w:t>
      </w:r>
      <w:r w:rsidR="00CA61B4" w:rsidRPr="000E4173">
        <w:rPr>
          <w:rFonts w:ascii="Arial" w:hAnsi="Arial" w:cs="Arial"/>
        </w:rPr>
        <w:t>un nivel de significación del 95</w:t>
      </w:r>
      <w:r w:rsidR="006D46B9" w:rsidRPr="000E4173">
        <w:rPr>
          <w:rFonts w:ascii="Arial" w:hAnsi="Arial" w:cs="Arial"/>
        </w:rPr>
        <w:t>%)</w:t>
      </w:r>
      <w:r w:rsidRPr="000E4173">
        <w:rPr>
          <w:rFonts w:ascii="Arial" w:hAnsi="Arial" w:cs="Arial"/>
        </w:rPr>
        <w:t>.</w:t>
      </w:r>
      <w:r w:rsidR="006D46B9" w:rsidRPr="000E4173">
        <w:rPr>
          <w:rFonts w:ascii="Arial" w:hAnsi="Arial" w:cs="Arial"/>
        </w:rPr>
        <w:t xml:space="preserve"> El resto de los coeficientes será considerado igual a cero.</w:t>
      </w:r>
      <w:r w:rsidRPr="000E4173">
        <w:rPr>
          <w:rFonts w:ascii="Arial" w:hAnsi="Arial" w:cs="Arial"/>
        </w:rPr>
        <w:t xml:space="preserve"> Tal como se destacó en párrafos anteriores, este concepto se encuentra asociado al cuadrado de los coeficientes de la matriz </w:t>
      </w:r>
      <w:r w:rsidRPr="000E4173">
        <w:rPr>
          <w:rFonts w:ascii="Arial" w:hAnsi="Arial" w:cs="Arial"/>
          <w:i/>
        </w:rPr>
        <w:t>loading</w:t>
      </w:r>
      <w:r w:rsidR="00D26DAD">
        <w:rPr>
          <w:rFonts w:ascii="Arial" w:hAnsi="Arial" w:cs="Arial"/>
          <w:i/>
        </w:rPr>
        <w:t xml:space="preserve"> </w:t>
      </w:r>
      <w:r w:rsidR="006D46B9" w:rsidRPr="000E4173">
        <w:rPr>
          <w:rFonts w:ascii="Arial" w:hAnsi="Arial" w:cs="Arial"/>
        </w:rPr>
        <w:t xml:space="preserve">(en este caso, la rotada) que se presentan normalizados a través de la suma total de cuadrados vinculada a cada CP. </w:t>
      </w:r>
    </w:p>
    <w:p w:rsidR="00FA26DF" w:rsidRPr="0084386F" w:rsidRDefault="00FA26DF" w:rsidP="0084386F">
      <w:pPr>
        <w:spacing w:after="0" w:line="360" w:lineRule="auto"/>
        <w:jc w:val="both"/>
        <w:rPr>
          <w:rFonts w:ascii="Arial" w:hAnsi="Arial" w:cs="Arial"/>
        </w:rPr>
      </w:pPr>
    </w:p>
    <w:p w:rsidR="00EE4B50" w:rsidRPr="000E4173" w:rsidRDefault="00EE4B50" w:rsidP="00EE4B50">
      <w:pPr>
        <w:pStyle w:val="Epgrafe"/>
        <w:keepNext/>
        <w:jc w:val="center"/>
        <w:rPr>
          <w:rFonts w:ascii="Arial" w:hAnsi="Arial" w:cs="Arial"/>
          <w:b/>
          <w:i w:val="0"/>
          <w:color w:val="auto"/>
          <w:sz w:val="22"/>
          <w:szCs w:val="22"/>
        </w:rPr>
      </w:pPr>
      <w:r w:rsidRPr="000E4173">
        <w:rPr>
          <w:rFonts w:ascii="Arial" w:hAnsi="Arial" w:cs="Arial"/>
          <w:b/>
          <w:i w:val="0"/>
          <w:color w:val="auto"/>
          <w:sz w:val="22"/>
          <w:szCs w:val="22"/>
        </w:rPr>
        <w:t xml:space="preserve">Tabla </w:t>
      </w:r>
      <w:r w:rsidR="00E17F18" w:rsidRPr="000E4173">
        <w:rPr>
          <w:rFonts w:ascii="Arial" w:hAnsi="Arial" w:cs="Arial"/>
          <w:b/>
          <w:i w:val="0"/>
          <w:color w:val="auto"/>
          <w:sz w:val="22"/>
          <w:szCs w:val="22"/>
        </w:rPr>
        <w:fldChar w:fldCharType="begin"/>
      </w:r>
      <w:r w:rsidR="00A13B3B" w:rsidRPr="000E4173">
        <w:rPr>
          <w:rFonts w:ascii="Arial" w:hAnsi="Arial" w:cs="Arial"/>
          <w:b/>
          <w:i w:val="0"/>
          <w:color w:val="auto"/>
          <w:sz w:val="22"/>
          <w:szCs w:val="22"/>
        </w:rPr>
        <w:instrText xml:space="preserve"> SEQ Tabla \* ARABIC </w:instrText>
      </w:r>
      <w:r w:rsidR="00E17F18" w:rsidRPr="000E4173">
        <w:rPr>
          <w:rFonts w:ascii="Arial" w:hAnsi="Arial" w:cs="Arial"/>
          <w:b/>
          <w:i w:val="0"/>
          <w:color w:val="auto"/>
          <w:sz w:val="22"/>
          <w:szCs w:val="22"/>
        </w:rPr>
        <w:fldChar w:fldCharType="separate"/>
      </w:r>
      <w:r w:rsidR="0084386F">
        <w:rPr>
          <w:rFonts w:ascii="Arial" w:hAnsi="Arial" w:cs="Arial"/>
          <w:b/>
          <w:i w:val="0"/>
          <w:noProof/>
          <w:color w:val="auto"/>
          <w:sz w:val="22"/>
          <w:szCs w:val="22"/>
        </w:rPr>
        <w:t>7</w:t>
      </w:r>
      <w:r w:rsidR="00E17F18" w:rsidRPr="000E4173">
        <w:rPr>
          <w:rFonts w:ascii="Arial" w:hAnsi="Arial" w:cs="Arial"/>
          <w:b/>
          <w:i w:val="0"/>
          <w:color w:val="auto"/>
          <w:sz w:val="22"/>
          <w:szCs w:val="22"/>
        </w:rPr>
        <w:fldChar w:fldCharType="end"/>
      </w:r>
      <w:r w:rsidRPr="000E4173">
        <w:rPr>
          <w:rFonts w:ascii="Arial" w:hAnsi="Arial" w:cs="Arial"/>
          <w:b/>
          <w:i w:val="0"/>
          <w:color w:val="auto"/>
          <w:sz w:val="22"/>
          <w:szCs w:val="22"/>
        </w:rPr>
        <w:t xml:space="preserve">: Componentes de la matriz </w:t>
      </w:r>
      <w:r w:rsidRPr="000E4173">
        <w:rPr>
          <w:rFonts w:ascii="Arial" w:hAnsi="Arial" w:cs="Arial"/>
          <w:b/>
          <w:color w:val="auto"/>
          <w:sz w:val="22"/>
          <w:szCs w:val="22"/>
        </w:rPr>
        <w:t>loading</w:t>
      </w:r>
      <w:r w:rsidRPr="000E4173">
        <w:rPr>
          <w:rFonts w:ascii="Arial" w:hAnsi="Arial" w:cs="Arial"/>
          <w:b/>
          <w:i w:val="0"/>
          <w:color w:val="auto"/>
          <w:sz w:val="22"/>
          <w:szCs w:val="22"/>
        </w:rPr>
        <w:t xml:space="preserve"> elevados al cuadrado</w:t>
      </w:r>
    </w:p>
    <w:tbl>
      <w:tblPr>
        <w:tblW w:w="4340" w:type="dxa"/>
        <w:jc w:val="center"/>
        <w:tblCellMar>
          <w:left w:w="70" w:type="dxa"/>
          <w:right w:w="70" w:type="dxa"/>
        </w:tblCellMar>
        <w:tblLook w:val="04A0" w:firstRow="1" w:lastRow="0" w:firstColumn="1" w:lastColumn="0" w:noHBand="0" w:noVBand="1"/>
      </w:tblPr>
      <w:tblGrid>
        <w:gridCol w:w="1300"/>
        <w:gridCol w:w="760"/>
        <w:gridCol w:w="760"/>
        <w:gridCol w:w="760"/>
        <w:gridCol w:w="760"/>
      </w:tblGrid>
      <w:tr w:rsidR="00771E10" w:rsidRPr="00771E10" w:rsidTr="00771E10">
        <w:trPr>
          <w:trHeight w:val="300"/>
          <w:jc w:val="center"/>
        </w:trPr>
        <w:tc>
          <w:tcPr>
            <w:tcW w:w="1300" w:type="dxa"/>
            <w:tcBorders>
              <w:top w:val="single" w:sz="4" w:space="0" w:color="auto"/>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 </w:t>
            </w:r>
          </w:p>
        </w:tc>
        <w:tc>
          <w:tcPr>
            <w:tcW w:w="760" w:type="dxa"/>
            <w:tcBorders>
              <w:top w:val="single" w:sz="4" w:space="0" w:color="auto"/>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Z1</w:t>
            </w:r>
          </w:p>
        </w:tc>
        <w:tc>
          <w:tcPr>
            <w:tcW w:w="760" w:type="dxa"/>
            <w:tcBorders>
              <w:top w:val="single" w:sz="4" w:space="0" w:color="auto"/>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Z2</w:t>
            </w:r>
          </w:p>
        </w:tc>
        <w:tc>
          <w:tcPr>
            <w:tcW w:w="760" w:type="dxa"/>
            <w:tcBorders>
              <w:top w:val="single" w:sz="4" w:space="0" w:color="auto"/>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Z3</w:t>
            </w:r>
          </w:p>
        </w:tc>
        <w:tc>
          <w:tcPr>
            <w:tcW w:w="760" w:type="dxa"/>
            <w:tcBorders>
              <w:top w:val="single" w:sz="4" w:space="0" w:color="auto"/>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Z4</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PERS</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0,13</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0,17</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RESCOR</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0,20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TRANSF</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0,23</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0,16</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DEUDA</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0,21</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SERV</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0,21</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RESFIN</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0,20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TRANSP</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0,96</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SERVD</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0,36</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nil"/>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IIBB</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0,39</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nil"/>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r w:rsidR="00771E10" w:rsidRPr="00771E10" w:rsidTr="00771E10">
        <w:trPr>
          <w:trHeight w:val="300"/>
          <w:jc w:val="center"/>
        </w:trPr>
        <w:tc>
          <w:tcPr>
            <w:tcW w:w="1300" w:type="dxa"/>
            <w:tcBorders>
              <w:top w:val="nil"/>
              <w:left w:val="nil"/>
              <w:bottom w:val="single" w:sz="4" w:space="0" w:color="auto"/>
              <w:right w:val="nil"/>
            </w:tcBorders>
            <w:shd w:val="clear" w:color="000000" w:fill="FFFFFF"/>
            <w:noWrap/>
            <w:vAlign w:val="center"/>
            <w:hideMark/>
          </w:tcPr>
          <w:p w:rsidR="00771E10" w:rsidRPr="00771E10" w:rsidRDefault="00771E10" w:rsidP="00771E10">
            <w:pPr>
              <w:spacing w:after="0" w:line="240" w:lineRule="auto"/>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PT</w:t>
            </w:r>
          </w:p>
        </w:tc>
        <w:tc>
          <w:tcPr>
            <w:tcW w:w="760" w:type="dxa"/>
            <w:tcBorders>
              <w:top w:val="nil"/>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b/>
                <w:bCs/>
                <w:color w:val="000000"/>
                <w:sz w:val="18"/>
                <w:szCs w:val="18"/>
                <w:lang w:val="es-AR" w:eastAsia="es-AR"/>
              </w:rPr>
            </w:pPr>
            <w:r w:rsidRPr="00771E10">
              <w:rPr>
                <w:rFonts w:ascii="Arial" w:eastAsia="Times New Roman" w:hAnsi="Arial" w:cs="Arial"/>
                <w:b/>
                <w:bCs/>
                <w:color w:val="000000"/>
                <w:sz w:val="18"/>
                <w:szCs w:val="18"/>
                <w:lang w:val="es-AR" w:eastAsia="es-AR"/>
              </w:rPr>
              <w:t>0,36</w:t>
            </w:r>
          </w:p>
        </w:tc>
        <w:tc>
          <w:tcPr>
            <w:tcW w:w="760" w:type="dxa"/>
            <w:tcBorders>
              <w:top w:val="nil"/>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c>
          <w:tcPr>
            <w:tcW w:w="760" w:type="dxa"/>
            <w:tcBorders>
              <w:top w:val="nil"/>
              <w:left w:val="nil"/>
              <w:bottom w:val="single" w:sz="4" w:space="0" w:color="auto"/>
              <w:right w:val="nil"/>
            </w:tcBorders>
            <w:shd w:val="clear" w:color="000000" w:fill="FFFFFF"/>
            <w:noWrap/>
            <w:vAlign w:val="bottom"/>
            <w:hideMark/>
          </w:tcPr>
          <w:p w:rsidR="00771E10" w:rsidRPr="00771E10" w:rsidRDefault="00771E10" w:rsidP="00771E10">
            <w:pPr>
              <w:spacing w:after="0" w:line="240" w:lineRule="auto"/>
              <w:jc w:val="center"/>
              <w:rPr>
                <w:rFonts w:ascii="Arial" w:eastAsia="Times New Roman" w:hAnsi="Arial" w:cs="Arial"/>
                <w:color w:val="000000"/>
                <w:sz w:val="18"/>
                <w:szCs w:val="18"/>
                <w:lang w:val="es-AR" w:eastAsia="es-AR"/>
              </w:rPr>
            </w:pPr>
            <w:r w:rsidRPr="00771E10">
              <w:rPr>
                <w:rFonts w:ascii="Arial" w:eastAsia="Times New Roman" w:hAnsi="Arial" w:cs="Arial"/>
                <w:color w:val="000000"/>
                <w:sz w:val="18"/>
                <w:szCs w:val="18"/>
                <w:lang w:val="es-AR" w:eastAsia="es-AR"/>
              </w:rPr>
              <w:t>0,00</w:t>
            </w:r>
          </w:p>
        </w:tc>
      </w:tr>
    </w:tbl>
    <w:p w:rsidR="000777C9" w:rsidRDefault="000777C9" w:rsidP="00EE4B50">
      <w:pPr>
        <w:spacing w:after="0" w:line="480" w:lineRule="auto"/>
        <w:jc w:val="both"/>
        <w:rPr>
          <w:rFonts w:ascii="Times New Roman" w:hAnsi="Times New Roman" w:cs="Times New Roman"/>
          <w:sz w:val="24"/>
          <w:szCs w:val="24"/>
        </w:rPr>
      </w:pPr>
    </w:p>
    <w:p w:rsidR="00EA7541" w:rsidRDefault="006D46B9" w:rsidP="009F65A6">
      <w:pPr>
        <w:spacing w:after="0" w:line="360" w:lineRule="auto"/>
        <w:jc w:val="both"/>
        <w:rPr>
          <w:rFonts w:ascii="Arial" w:hAnsi="Arial" w:cs="Arial"/>
        </w:rPr>
      </w:pPr>
      <w:r w:rsidRPr="00CB3BD2">
        <w:rPr>
          <w:rFonts w:ascii="Arial" w:hAnsi="Arial" w:cs="Arial"/>
        </w:rPr>
        <w:t>El paso que resta para determinar los pesos</w:t>
      </w:r>
      <w:r w:rsidR="00795F5F" w:rsidRPr="00CB3BD2">
        <w:rPr>
          <w:rFonts w:ascii="Arial" w:hAnsi="Arial" w:cs="Arial"/>
        </w:rPr>
        <w:t>,</w:t>
      </w:r>
      <w:r w:rsidRPr="00CB3BD2">
        <w:rPr>
          <w:rFonts w:ascii="Arial" w:hAnsi="Arial" w:cs="Arial"/>
        </w:rPr>
        <w:t xml:space="preserve"> consiste en ponderar cada uno d</w:t>
      </w:r>
      <w:r w:rsidR="00771E10">
        <w:rPr>
          <w:rFonts w:ascii="Arial" w:hAnsi="Arial" w:cs="Arial"/>
        </w:rPr>
        <w:t>e los coeficientes de la Tabla 7</w:t>
      </w:r>
      <w:r w:rsidRPr="00CB3BD2">
        <w:rPr>
          <w:rFonts w:ascii="Arial" w:hAnsi="Arial" w:cs="Arial"/>
        </w:rPr>
        <w:t xml:space="preserve"> por la proporción de la varianza explicada por cada uno de los cuatro CP seleccionados. </w:t>
      </w:r>
      <w:r w:rsidR="00EA7541" w:rsidRPr="00CB3BD2">
        <w:rPr>
          <w:rFonts w:ascii="Arial" w:hAnsi="Arial" w:cs="Arial"/>
        </w:rPr>
        <w:t xml:space="preserve">Así, se arriba a las cifras presentadas en la Tabla </w:t>
      </w:r>
      <w:r w:rsidR="00795F5F" w:rsidRPr="00CB3BD2">
        <w:rPr>
          <w:rFonts w:ascii="Arial" w:hAnsi="Arial" w:cs="Arial"/>
        </w:rPr>
        <w:t>8</w:t>
      </w:r>
      <w:r w:rsidR="00EA7541" w:rsidRPr="00CB3BD2">
        <w:rPr>
          <w:rFonts w:ascii="Arial" w:hAnsi="Arial" w:cs="Arial"/>
        </w:rPr>
        <w:t xml:space="preserve">: </w:t>
      </w:r>
    </w:p>
    <w:p w:rsidR="009F65A6" w:rsidRPr="009F65A6" w:rsidRDefault="009F65A6" w:rsidP="009F65A6">
      <w:pPr>
        <w:spacing w:after="0" w:line="360" w:lineRule="auto"/>
        <w:jc w:val="both"/>
        <w:rPr>
          <w:rFonts w:ascii="Arial" w:hAnsi="Arial" w:cs="Arial"/>
        </w:rPr>
      </w:pPr>
    </w:p>
    <w:p w:rsidR="00EA7541" w:rsidRPr="00CB3BD2" w:rsidRDefault="00EA7541" w:rsidP="00EA7541">
      <w:pPr>
        <w:pStyle w:val="Epgrafe"/>
        <w:keepNext/>
        <w:jc w:val="center"/>
        <w:rPr>
          <w:rFonts w:ascii="Arial" w:hAnsi="Arial" w:cs="Arial"/>
          <w:b/>
          <w:i w:val="0"/>
          <w:color w:val="auto"/>
          <w:sz w:val="22"/>
          <w:szCs w:val="22"/>
        </w:rPr>
      </w:pPr>
      <w:r w:rsidRPr="00CB3BD2">
        <w:rPr>
          <w:rFonts w:ascii="Arial" w:hAnsi="Arial" w:cs="Arial"/>
          <w:b/>
          <w:i w:val="0"/>
          <w:color w:val="auto"/>
          <w:sz w:val="22"/>
          <w:szCs w:val="22"/>
        </w:rPr>
        <w:t xml:space="preserve">Tabla </w:t>
      </w:r>
      <w:r w:rsidR="00E17F18" w:rsidRPr="00CB3BD2">
        <w:rPr>
          <w:rFonts w:ascii="Arial" w:hAnsi="Arial" w:cs="Arial"/>
          <w:b/>
          <w:i w:val="0"/>
          <w:color w:val="auto"/>
          <w:sz w:val="22"/>
          <w:szCs w:val="22"/>
        </w:rPr>
        <w:fldChar w:fldCharType="begin"/>
      </w:r>
      <w:r w:rsidR="00A13B3B" w:rsidRPr="00CB3BD2">
        <w:rPr>
          <w:rFonts w:ascii="Arial" w:hAnsi="Arial" w:cs="Arial"/>
          <w:b/>
          <w:i w:val="0"/>
          <w:color w:val="auto"/>
          <w:sz w:val="22"/>
          <w:szCs w:val="22"/>
        </w:rPr>
        <w:instrText xml:space="preserve"> SEQ Tabla \* ARABIC </w:instrText>
      </w:r>
      <w:r w:rsidR="00E17F18" w:rsidRPr="00CB3BD2">
        <w:rPr>
          <w:rFonts w:ascii="Arial" w:hAnsi="Arial" w:cs="Arial"/>
          <w:b/>
          <w:i w:val="0"/>
          <w:color w:val="auto"/>
          <w:sz w:val="22"/>
          <w:szCs w:val="22"/>
        </w:rPr>
        <w:fldChar w:fldCharType="separate"/>
      </w:r>
      <w:r w:rsidR="0084386F">
        <w:rPr>
          <w:rFonts w:ascii="Arial" w:hAnsi="Arial" w:cs="Arial"/>
          <w:b/>
          <w:i w:val="0"/>
          <w:noProof/>
          <w:color w:val="auto"/>
          <w:sz w:val="22"/>
          <w:szCs w:val="22"/>
        </w:rPr>
        <w:t>8</w:t>
      </w:r>
      <w:r w:rsidR="00E17F18" w:rsidRPr="00CB3BD2">
        <w:rPr>
          <w:rFonts w:ascii="Arial" w:hAnsi="Arial" w:cs="Arial"/>
          <w:b/>
          <w:i w:val="0"/>
          <w:color w:val="auto"/>
          <w:sz w:val="22"/>
          <w:szCs w:val="22"/>
        </w:rPr>
        <w:fldChar w:fldCharType="end"/>
      </w:r>
      <w:r w:rsidRPr="00CB3BD2">
        <w:rPr>
          <w:rFonts w:ascii="Arial" w:hAnsi="Arial" w:cs="Arial"/>
          <w:b/>
          <w:i w:val="0"/>
          <w:color w:val="auto"/>
          <w:sz w:val="22"/>
          <w:szCs w:val="22"/>
        </w:rPr>
        <w:t>: Contribución de cada indicador a la explicación de la varianza y ponderadores</w:t>
      </w:r>
    </w:p>
    <w:tbl>
      <w:tblPr>
        <w:tblW w:w="4360" w:type="dxa"/>
        <w:jc w:val="center"/>
        <w:tblCellMar>
          <w:left w:w="70" w:type="dxa"/>
          <w:right w:w="70" w:type="dxa"/>
        </w:tblCellMar>
        <w:tblLook w:val="04A0" w:firstRow="1" w:lastRow="0" w:firstColumn="1" w:lastColumn="0" w:noHBand="0" w:noVBand="1"/>
      </w:tblPr>
      <w:tblGrid>
        <w:gridCol w:w="1200"/>
        <w:gridCol w:w="1580"/>
        <w:gridCol w:w="1580"/>
      </w:tblGrid>
      <w:tr w:rsidR="003D1D3E" w:rsidRPr="00FF0E98" w:rsidTr="003D1D3E">
        <w:trPr>
          <w:trHeight w:val="645"/>
          <w:jc w:val="center"/>
        </w:trPr>
        <w:tc>
          <w:tcPr>
            <w:tcW w:w="1200" w:type="dxa"/>
            <w:tcBorders>
              <w:top w:val="single" w:sz="4" w:space="0" w:color="auto"/>
              <w:left w:val="nil"/>
              <w:bottom w:val="single" w:sz="4" w:space="0" w:color="auto"/>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 </w:t>
            </w:r>
          </w:p>
        </w:tc>
        <w:tc>
          <w:tcPr>
            <w:tcW w:w="1580" w:type="dxa"/>
            <w:tcBorders>
              <w:top w:val="single" w:sz="4" w:space="0" w:color="auto"/>
              <w:left w:val="nil"/>
              <w:bottom w:val="single" w:sz="4" w:space="0" w:color="auto"/>
              <w:right w:val="nil"/>
            </w:tcBorders>
            <w:shd w:val="clear" w:color="000000" w:fill="FFFFFF"/>
            <w:vAlign w:val="bottom"/>
            <w:hideMark/>
          </w:tcPr>
          <w:p w:rsidR="003D1D3E" w:rsidRPr="00FF0E98" w:rsidRDefault="003D1D3E" w:rsidP="003D1D3E">
            <w:pPr>
              <w:spacing w:after="0" w:line="240" w:lineRule="auto"/>
              <w:jc w:val="center"/>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Varianza explicada por el indicador</w:t>
            </w:r>
          </w:p>
        </w:tc>
        <w:tc>
          <w:tcPr>
            <w:tcW w:w="1580" w:type="dxa"/>
            <w:tcBorders>
              <w:top w:val="single" w:sz="4" w:space="0" w:color="auto"/>
              <w:left w:val="nil"/>
              <w:bottom w:val="single" w:sz="4" w:space="0" w:color="auto"/>
              <w:right w:val="nil"/>
            </w:tcBorders>
            <w:shd w:val="clear" w:color="000000" w:fill="FFFFFF"/>
            <w:noWrap/>
            <w:vAlign w:val="center"/>
            <w:hideMark/>
          </w:tcPr>
          <w:p w:rsidR="003D1D3E" w:rsidRPr="00FF0E98" w:rsidRDefault="003D1D3E" w:rsidP="003D1D3E">
            <w:pPr>
              <w:spacing w:after="0" w:line="240" w:lineRule="auto"/>
              <w:jc w:val="center"/>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Ponderador</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PERS</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6,</w:t>
            </w:r>
            <w:r w:rsidR="003D1D3E" w:rsidRPr="00FF0E98">
              <w:rPr>
                <w:rFonts w:ascii="Arial" w:eastAsia="Times New Roman" w:hAnsi="Arial" w:cs="Arial"/>
                <w:color w:val="000000"/>
                <w:sz w:val="18"/>
                <w:szCs w:val="18"/>
                <w:lang w:val="es-AR" w:eastAsia="es-AR"/>
              </w:rPr>
              <w:t>8%</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9,</w:t>
            </w:r>
            <w:r w:rsidR="003D1D3E" w:rsidRPr="00FF0E98">
              <w:rPr>
                <w:rFonts w:ascii="Arial" w:eastAsia="Times New Roman" w:hAnsi="Arial" w:cs="Arial"/>
                <w:color w:val="000000"/>
                <w:sz w:val="18"/>
                <w:szCs w:val="18"/>
                <w:lang w:val="es-AR" w:eastAsia="es-AR"/>
              </w:rPr>
              <w:t>2%</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RESCOR</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7,</w:t>
            </w:r>
            <w:r w:rsidR="003D1D3E" w:rsidRPr="00FF0E98">
              <w:rPr>
                <w:rFonts w:ascii="Arial" w:eastAsia="Times New Roman" w:hAnsi="Arial" w:cs="Arial"/>
                <w:color w:val="000000"/>
                <w:sz w:val="18"/>
                <w:szCs w:val="18"/>
                <w:lang w:val="es-AR" w:eastAsia="es-AR"/>
              </w:rPr>
              <w:t>0%</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9,</w:t>
            </w:r>
            <w:r w:rsidR="003D1D3E" w:rsidRPr="00FF0E98">
              <w:rPr>
                <w:rFonts w:ascii="Arial" w:eastAsia="Times New Roman" w:hAnsi="Arial" w:cs="Arial"/>
                <w:color w:val="000000"/>
                <w:sz w:val="18"/>
                <w:szCs w:val="18"/>
                <w:lang w:val="es-AR" w:eastAsia="es-AR"/>
              </w:rPr>
              <w:t>5%</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TRANSF</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6,</w:t>
            </w:r>
            <w:r w:rsidR="003D1D3E" w:rsidRPr="00FF0E98">
              <w:rPr>
                <w:rFonts w:ascii="Arial" w:eastAsia="Times New Roman" w:hAnsi="Arial" w:cs="Arial"/>
                <w:color w:val="000000"/>
                <w:sz w:val="18"/>
                <w:szCs w:val="18"/>
                <w:lang w:val="es-AR" w:eastAsia="es-AR"/>
              </w:rPr>
              <w:t>9%</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9,</w:t>
            </w:r>
            <w:r w:rsidR="003D1D3E" w:rsidRPr="00FF0E98">
              <w:rPr>
                <w:rFonts w:ascii="Arial" w:eastAsia="Times New Roman" w:hAnsi="Arial" w:cs="Arial"/>
                <w:color w:val="000000"/>
                <w:sz w:val="18"/>
                <w:szCs w:val="18"/>
                <w:lang w:val="es-AR" w:eastAsia="es-AR"/>
              </w:rPr>
              <w:t>2%</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DEUDA</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7,</w:t>
            </w:r>
            <w:r w:rsidR="003D1D3E" w:rsidRPr="00FF0E98">
              <w:rPr>
                <w:rFonts w:ascii="Arial" w:eastAsia="Times New Roman" w:hAnsi="Arial" w:cs="Arial"/>
                <w:color w:val="000000"/>
                <w:sz w:val="18"/>
                <w:szCs w:val="18"/>
                <w:lang w:val="es-AR" w:eastAsia="es-AR"/>
              </w:rPr>
              <w:t>4%</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10,</w:t>
            </w:r>
            <w:r w:rsidR="003D1D3E" w:rsidRPr="00FF0E98">
              <w:rPr>
                <w:rFonts w:ascii="Arial" w:eastAsia="Times New Roman" w:hAnsi="Arial" w:cs="Arial"/>
                <w:color w:val="000000"/>
                <w:sz w:val="18"/>
                <w:szCs w:val="18"/>
                <w:lang w:val="es-AR" w:eastAsia="es-AR"/>
              </w:rPr>
              <w:t>0%</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SERV</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7,</w:t>
            </w:r>
            <w:r w:rsidR="003D1D3E" w:rsidRPr="00FF0E98">
              <w:rPr>
                <w:rFonts w:ascii="Arial" w:eastAsia="Times New Roman" w:hAnsi="Arial" w:cs="Arial"/>
                <w:color w:val="000000"/>
                <w:sz w:val="18"/>
                <w:szCs w:val="18"/>
                <w:lang w:val="es-AR" w:eastAsia="es-AR"/>
              </w:rPr>
              <w:t>3%</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9,</w:t>
            </w:r>
            <w:r w:rsidR="003D1D3E" w:rsidRPr="00FF0E98">
              <w:rPr>
                <w:rFonts w:ascii="Arial" w:eastAsia="Times New Roman" w:hAnsi="Arial" w:cs="Arial"/>
                <w:color w:val="000000"/>
                <w:sz w:val="18"/>
                <w:szCs w:val="18"/>
                <w:lang w:val="es-AR" w:eastAsia="es-AR"/>
              </w:rPr>
              <w:t>8%</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RESFIN</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7,</w:t>
            </w:r>
            <w:r w:rsidR="003D1D3E" w:rsidRPr="00FF0E98">
              <w:rPr>
                <w:rFonts w:ascii="Arial" w:eastAsia="Times New Roman" w:hAnsi="Arial" w:cs="Arial"/>
                <w:color w:val="000000"/>
                <w:sz w:val="18"/>
                <w:szCs w:val="18"/>
                <w:lang w:val="es-AR" w:eastAsia="es-AR"/>
              </w:rPr>
              <w:t>0%</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9,</w:t>
            </w:r>
            <w:r w:rsidR="003D1D3E" w:rsidRPr="00FF0E98">
              <w:rPr>
                <w:rFonts w:ascii="Arial" w:eastAsia="Times New Roman" w:hAnsi="Arial" w:cs="Arial"/>
                <w:color w:val="000000"/>
                <w:sz w:val="18"/>
                <w:szCs w:val="18"/>
                <w:lang w:val="es-AR" w:eastAsia="es-AR"/>
              </w:rPr>
              <w:t>4%</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TRANSP</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11,</w:t>
            </w:r>
            <w:r w:rsidR="003D1D3E" w:rsidRPr="00FF0E98">
              <w:rPr>
                <w:rFonts w:ascii="Arial" w:eastAsia="Times New Roman" w:hAnsi="Arial" w:cs="Arial"/>
                <w:color w:val="000000"/>
                <w:sz w:val="18"/>
                <w:szCs w:val="18"/>
                <w:lang w:val="es-AR" w:eastAsia="es-AR"/>
              </w:rPr>
              <w:t>9%</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15,</w:t>
            </w:r>
            <w:r w:rsidR="003D1D3E" w:rsidRPr="00FF0E98">
              <w:rPr>
                <w:rFonts w:ascii="Arial" w:eastAsia="Times New Roman" w:hAnsi="Arial" w:cs="Arial"/>
                <w:color w:val="000000"/>
                <w:sz w:val="18"/>
                <w:szCs w:val="18"/>
                <w:lang w:val="es-AR" w:eastAsia="es-AR"/>
              </w:rPr>
              <w:t>9%</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SERVD</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4,</w:t>
            </w:r>
            <w:r w:rsidR="003D1D3E" w:rsidRPr="00FF0E98">
              <w:rPr>
                <w:rFonts w:ascii="Arial" w:eastAsia="Times New Roman" w:hAnsi="Arial" w:cs="Arial"/>
                <w:color w:val="000000"/>
                <w:sz w:val="18"/>
                <w:szCs w:val="18"/>
                <w:lang w:val="es-AR" w:eastAsia="es-AR"/>
              </w:rPr>
              <w:t>8%</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6,</w:t>
            </w:r>
            <w:r w:rsidR="003D1D3E" w:rsidRPr="00FF0E98">
              <w:rPr>
                <w:rFonts w:ascii="Arial" w:eastAsia="Times New Roman" w:hAnsi="Arial" w:cs="Arial"/>
                <w:color w:val="000000"/>
                <w:sz w:val="18"/>
                <w:szCs w:val="18"/>
                <w:lang w:val="es-AR" w:eastAsia="es-AR"/>
              </w:rPr>
              <w:t>4%</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IIBB</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8,</w:t>
            </w:r>
            <w:r w:rsidR="003D1D3E" w:rsidRPr="00FF0E98">
              <w:rPr>
                <w:rFonts w:ascii="Arial" w:eastAsia="Times New Roman" w:hAnsi="Arial" w:cs="Arial"/>
                <w:color w:val="000000"/>
                <w:sz w:val="18"/>
                <w:szCs w:val="18"/>
                <w:lang w:val="es-AR" w:eastAsia="es-AR"/>
              </w:rPr>
              <w:t>0%</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10,</w:t>
            </w:r>
            <w:r w:rsidR="003D1D3E" w:rsidRPr="00FF0E98">
              <w:rPr>
                <w:rFonts w:ascii="Arial" w:eastAsia="Times New Roman" w:hAnsi="Arial" w:cs="Arial"/>
                <w:color w:val="000000"/>
                <w:sz w:val="18"/>
                <w:szCs w:val="18"/>
                <w:lang w:val="es-AR" w:eastAsia="es-AR"/>
              </w:rPr>
              <w:t>8%</w:t>
            </w:r>
          </w:p>
        </w:tc>
      </w:tr>
      <w:tr w:rsidR="003D1D3E" w:rsidRPr="00FF0E98" w:rsidTr="003D1D3E">
        <w:trPr>
          <w:trHeight w:val="255"/>
          <w:jc w:val="center"/>
        </w:trPr>
        <w:tc>
          <w:tcPr>
            <w:tcW w:w="1200" w:type="dxa"/>
            <w:tcBorders>
              <w:top w:val="nil"/>
              <w:left w:val="nil"/>
              <w:bottom w:val="nil"/>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PT</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7,</w:t>
            </w:r>
            <w:r w:rsidR="003D1D3E" w:rsidRPr="00FF0E98">
              <w:rPr>
                <w:rFonts w:ascii="Arial" w:eastAsia="Times New Roman" w:hAnsi="Arial" w:cs="Arial"/>
                <w:color w:val="000000"/>
                <w:sz w:val="18"/>
                <w:szCs w:val="18"/>
                <w:lang w:val="es-AR" w:eastAsia="es-AR"/>
              </w:rPr>
              <w:t>3%</w:t>
            </w:r>
          </w:p>
        </w:tc>
        <w:tc>
          <w:tcPr>
            <w:tcW w:w="1580" w:type="dxa"/>
            <w:tcBorders>
              <w:top w:val="nil"/>
              <w:left w:val="nil"/>
              <w:bottom w:val="nil"/>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color w:val="000000"/>
                <w:sz w:val="18"/>
                <w:szCs w:val="18"/>
                <w:lang w:val="es-AR" w:eastAsia="es-AR"/>
              </w:rPr>
            </w:pPr>
            <w:r>
              <w:rPr>
                <w:rFonts w:ascii="Arial" w:eastAsia="Times New Roman" w:hAnsi="Arial" w:cs="Arial"/>
                <w:color w:val="000000"/>
                <w:sz w:val="18"/>
                <w:szCs w:val="18"/>
                <w:lang w:val="es-AR" w:eastAsia="es-AR"/>
              </w:rPr>
              <w:t>9,</w:t>
            </w:r>
            <w:r w:rsidR="003D1D3E" w:rsidRPr="00FF0E98">
              <w:rPr>
                <w:rFonts w:ascii="Arial" w:eastAsia="Times New Roman" w:hAnsi="Arial" w:cs="Arial"/>
                <w:color w:val="000000"/>
                <w:sz w:val="18"/>
                <w:szCs w:val="18"/>
                <w:lang w:val="es-AR" w:eastAsia="es-AR"/>
              </w:rPr>
              <w:t>8%</w:t>
            </w:r>
          </w:p>
        </w:tc>
      </w:tr>
      <w:tr w:rsidR="003D1D3E" w:rsidRPr="00FF0E98" w:rsidTr="003D1D3E">
        <w:trPr>
          <w:trHeight w:val="255"/>
          <w:jc w:val="center"/>
        </w:trPr>
        <w:tc>
          <w:tcPr>
            <w:tcW w:w="1200" w:type="dxa"/>
            <w:tcBorders>
              <w:top w:val="single" w:sz="4" w:space="0" w:color="auto"/>
              <w:left w:val="nil"/>
              <w:bottom w:val="single" w:sz="4" w:space="0" w:color="auto"/>
              <w:right w:val="nil"/>
            </w:tcBorders>
            <w:shd w:val="clear" w:color="000000" w:fill="FFFFFF"/>
            <w:noWrap/>
            <w:vAlign w:val="center"/>
            <w:hideMark/>
          </w:tcPr>
          <w:p w:rsidR="003D1D3E" w:rsidRPr="00FF0E98" w:rsidRDefault="003D1D3E" w:rsidP="003D1D3E">
            <w:pPr>
              <w:spacing w:after="0" w:line="240" w:lineRule="auto"/>
              <w:rPr>
                <w:rFonts w:ascii="Arial" w:eastAsia="Times New Roman" w:hAnsi="Arial" w:cs="Arial"/>
                <w:b/>
                <w:bCs/>
                <w:color w:val="000000"/>
                <w:sz w:val="18"/>
                <w:szCs w:val="18"/>
                <w:lang w:val="es-AR" w:eastAsia="es-AR"/>
              </w:rPr>
            </w:pPr>
            <w:r w:rsidRPr="00FF0E98">
              <w:rPr>
                <w:rFonts w:ascii="Arial" w:eastAsia="Times New Roman" w:hAnsi="Arial" w:cs="Arial"/>
                <w:b/>
                <w:bCs/>
                <w:color w:val="000000"/>
                <w:sz w:val="18"/>
                <w:szCs w:val="18"/>
                <w:lang w:val="es-AR" w:eastAsia="es-AR"/>
              </w:rPr>
              <w:t>Total</w:t>
            </w:r>
          </w:p>
        </w:tc>
        <w:tc>
          <w:tcPr>
            <w:tcW w:w="1580" w:type="dxa"/>
            <w:tcBorders>
              <w:top w:val="single" w:sz="4" w:space="0" w:color="auto"/>
              <w:left w:val="nil"/>
              <w:bottom w:val="single" w:sz="4" w:space="0" w:color="auto"/>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b/>
                <w:bCs/>
                <w:color w:val="000000"/>
                <w:sz w:val="18"/>
                <w:szCs w:val="18"/>
                <w:lang w:val="es-AR" w:eastAsia="es-AR"/>
              </w:rPr>
            </w:pPr>
            <w:r>
              <w:rPr>
                <w:rFonts w:ascii="Arial" w:eastAsia="Times New Roman" w:hAnsi="Arial" w:cs="Arial"/>
                <w:b/>
                <w:bCs/>
                <w:color w:val="000000"/>
                <w:sz w:val="18"/>
                <w:szCs w:val="18"/>
                <w:lang w:val="es-AR" w:eastAsia="es-AR"/>
              </w:rPr>
              <w:t>74,</w:t>
            </w:r>
            <w:r w:rsidR="003D1D3E" w:rsidRPr="00FF0E98">
              <w:rPr>
                <w:rFonts w:ascii="Arial" w:eastAsia="Times New Roman" w:hAnsi="Arial" w:cs="Arial"/>
                <w:b/>
                <w:bCs/>
                <w:color w:val="000000"/>
                <w:sz w:val="18"/>
                <w:szCs w:val="18"/>
                <w:lang w:val="es-AR" w:eastAsia="es-AR"/>
              </w:rPr>
              <w:t>3%</w:t>
            </w:r>
          </w:p>
        </w:tc>
        <w:tc>
          <w:tcPr>
            <w:tcW w:w="1580" w:type="dxa"/>
            <w:tcBorders>
              <w:top w:val="single" w:sz="4" w:space="0" w:color="auto"/>
              <w:left w:val="nil"/>
              <w:bottom w:val="single" w:sz="4" w:space="0" w:color="auto"/>
              <w:right w:val="nil"/>
            </w:tcBorders>
            <w:shd w:val="clear" w:color="000000" w:fill="FFFFFF"/>
            <w:noWrap/>
            <w:vAlign w:val="bottom"/>
            <w:hideMark/>
          </w:tcPr>
          <w:p w:rsidR="003D1D3E" w:rsidRPr="00FF0E98" w:rsidRDefault="00D26DAD" w:rsidP="003D1D3E">
            <w:pPr>
              <w:spacing w:after="0" w:line="240" w:lineRule="auto"/>
              <w:jc w:val="center"/>
              <w:rPr>
                <w:rFonts w:ascii="Arial" w:eastAsia="Times New Roman" w:hAnsi="Arial" w:cs="Arial"/>
                <w:b/>
                <w:bCs/>
                <w:color w:val="000000"/>
                <w:sz w:val="18"/>
                <w:szCs w:val="18"/>
                <w:lang w:val="es-AR" w:eastAsia="es-AR"/>
              </w:rPr>
            </w:pPr>
            <w:r>
              <w:rPr>
                <w:rFonts w:ascii="Arial" w:eastAsia="Times New Roman" w:hAnsi="Arial" w:cs="Arial"/>
                <w:b/>
                <w:bCs/>
                <w:color w:val="000000"/>
                <w:sz w:val="18"/>
                <w:szCs w:val="18"/>
                <w:lang w:val="es-AR" w:eastAsia="es-AR"/>
              </w:rPr>
              <w:t>100,</w:t>
            </w:r>
            <w:r w:rsidR="003D1D3E" w:rsidRPr="00FF0E98">
              <w:rPr>
                <w:rFonts w:ascii="Arial" w:eastAsia="Times New Roman" w:hAnsi="Arial" w:cs="Arial"/>
                <w:b/>
                <w:bCs/>
                <w:color w:val="000000"/>
                <w:sz w:val="18"/>
                <w:szCs w:val="18"/>
                <w:lang w:val="es-AR" w:eastAsia="es-AR"/>
              </w:rPr>
              <w:t>0%</w:t>
            </w:r>
          </w:p>
        </w:tc>
      </w:tr>
    </w:tbl>
    <w:p w:rsidR="00EA7541" w:rsidRDefault="00EA7541" w:rsidP="00EE4B50">
      <w:pPr>
        <w:spacing w:after="0" w:line="480" w:lineRule="auto"/>
        <w:jc w:val="both"/>
        <w:rPr>
          <w:rFonts w:ascii="Times New Roman" w:hAnsi="Times New Roman" w:cs="Times New Roman"/>
          <w:sz w:val="24"/>
          <w:szCs w:val="24"/>
        </w:rPr>
      </w:pPr>
    </w:p>
    <w:p w:rsidR="00E45C0B" w:rsidRPr="00E64037" w:rsidRDefault="0003353F" w:rsidP="00E64037">
      <w:pPr>
        <w:spacing w:after="0" w:line="360" w:lineRule="auto"/>
        <w:jc w:val="both"/>
        <w:rPr>
          <w:rFonts w:ascii="Arial" w:hAnsi="Arial" w:cs="Arial"/>
          <w:color w:val="000000" w:themeColor="text1"/>
        </w:rPr>
      </w:pPr>
      <w:r w:rsidRPr="00E64037">
        <w:rPr>
          <w:rFonts w:ascii="Arial" w:hAnsi="Arial" w:cs="Arial"/>
          <w:color w:val="000000" w:themeColor="text1"/>
        </w:rPr>
        <w:t>Utilizando estos ponderadores</w:t>
      </w:r>
      <w:r w:rsidR="00E10585" w:rsidRPr="00E64037">
        <w:rPr>
          <w:rFonts w:ascii="Arial" w:hAnsi="Arial" w:cs="Arial"/>
          <w:color w:val="000000" w:themeColor="text1"/>
        </w:rPr>
        <w:t xml:space="preserve">, se computa finalmente el valor definitivo del IFF para cada provincia y se establece el ranking correspondiente. Estos resultados se presentan en las Tablas 9 </w:t>
      </w:r>
      <w:r w:rsidR="00795F5F" w:rsidRPr="00E64037">
        <w:rPr>
          <w:rFonts w:ascii="Arial" w:hAnsi="Arial" w:cs="Arial"/>
          <w:color w:val="000000" w:themeColor="text1"/>
        </w:rPr>
        <w:t xml:space="preserve">y 11 </w:t>
      </w:r>
      <w:r w:rsidR="00E10585" w:rsidRPr="00E64037">
        <w:rPr>
          <w:rFonts w:ascii="Arial" w:hAnsi="Arial" w:cs="Arial"/>
          <w:color w:val="000000" w:themeColor="text1"/>
        </w:rPr>
        <w:t xml:space="preserve">(según los puntajes utilizados sean los originales o los estandarizados): </w:t>
      </w:r>
    </w:p>
    <w:p w:rsidR="00793D77" w:rsidRPr="000467AA" w:rsidRDefault="00793D77" w:rsidP="00EE4B50">
      <w:pPr>
        <w:spacing w:after="0" w:line="480" w:lineRule="auto"/>
        <w:jc w:val="both"/>
        <w:rPr>
          <w:rFonts w:ascii="Times New Roman" w:hAnsi="Times New Roman" w:cs="Times New Roman"/>
          <w:color w:val="000000" w:themeColor="text1"/>
          <w:sz w:val="24"/>
          <w:szCs w:val="24"/>
        </w:rPr>
      </w:pPr>
    </w:p>
    <w:p w:rsidR="00717C57" w:rsidRPr="00CB3BD2" w:rsidRDefault="00717C57" w:rsidP="009A4D0B">
      <w:pPr>
        <w:pStyle w:val="Epgrafe"/>
        <w:keepNext/>
        <w:jc w:val="center"/>
        <w:rPr>
          <w:rFonts w:ascii="Arial" w:hAnsi="Arial" w:cs="Arial"/>
          <w:b/>
          <w:i w:val="0"/>
          <w:color w:val="000000" w:themeColor="text1"/>
          <w:sz w:val="22"/>
          <w:szCs w:val="22"/>
        </w:rPr>
      </w:pPr>
      <w:r w:rsidRPr="00CB3BD2">
        <w:rPr>
          <w:rFonts w:ascii="Arial" w:hAnsi="Arial" w:cs="Arial"/>
          <w:b/>
          <w:i w:val="0"/>
          <w:color w:val="000000" w:themeColor="text1"/>
          <w:sz w:val="22"/>
          <w:szCs w:val="22"/>
        </w:rPr>
        <w:t xml:space="preserve">Tabla </w:t>
      </w:r>
      <w:r w:rsidR="00E17F18" w:rsidRPr="00CB3BD2">
        <w:rPr>
          <w:rFonts w:ascii="Arial" w:hAnsi="Arial" w:cs="Arial"/>
          <w:b/>
          <w:i w:val="0"/>
          <w:color w:val="000000" w:themeColor="text1"/>
          <w:sz w:val="22"/>
          <w:szCs w:val="22"/>
        </w:rPr>
        <w:fldChar w:fldCharType="begin"/>
      </w:r>
      <w:r w:rsidR="00A13B3B" w:rsidRPr="00CB3BD2">
        <w:rPr>
          <w:rFonts w:ascii="Arial" w:hAnsi="Arial" w:cs="Arial"/>
          <w:b/>
          <w:i w:val="0"/>
          <w:color w:val="000000" w:themeColor="text1"/>
          <w:sz w:val="22"/>
          <w:szCs w:val="22"/>
        </w:rPr>
        <w:instrText xml:space="preserve"> SEQ Tabla \* ARABIC </w:instrText>
      </w:r>
      <w:r w:rsidR="00E17F18" w:rsidRPr="00CB3BD2">
        <w:rPr>
          <w:rFonts w:ascii="Arial" w:hAnsi="Arial" w:cs="Arial"/>
          <w:b/>
          <w:i w:val="0"/>
          <w:color w:val="000000" w:themeColor="text1"/>
          <w:sz w:val="22"/>
          <w:szCs w:val="22"/>
        </w:rPr>
        <w:fldChar w:fldCharType="separate"/>
      </w:r>
      <w:r w:rsidR="0084386F">
        <w:rPr>
          <w:rFonts w:ascii="Arial" w:hAnsi="Arial" w:cs="Arial"/>
          <w:b/>
          <w:i w:val="0"/>
          <w:noProof/>
          <w:color w:val="000000" w:themeColor="text1"/>
          <w:sz w:val="22"/>
          <w:szCs w:val="22"/>
        </w:rPr>
        <w:t>9</w:t>
      </w:r>
      <w:r w:rsidR="00E17F18" w:rsidRPr="00CB3BD2">
        <w:rPr>
          <w:rFonts w:ascii="Arial" w:hAnsi="Arial" w:cs="Arial"/>
          <w:b/>
          <w:i w:val="0"/>
          <w:color w:val="000000" w:themeColor="text1"/>
          <w:sz w:val="22"/>
          <w:szCs w:val="22"/>
        </w:rPr>
        <w:fldChar w:fldCharType="end"/>
      </w:r>
      <w:r w:rsidRPr="00CB3BD2">
        <w:rPr>
          <w:rFonts w:ascii="Arial" w:hAnsi="Arial" w:cs="Arial"/>
          <w:b/>
          <w:i w:val="0"/>
          <w:color w:val="000000" w:themeColor="text1"/>
          <w:sz w:val="22"/>
          <w:szCs w:val="22"/>
        </w:rPr>
        <w:t xml:space="preserve">: Puntaje obtenido por </w:t>
      </w:r>
      <w:r w:rsidR="009A4D0B" w:rsidRPr="00CB3BD2">
        <w:rPr>
          <w:rFonts w:ascii="Arial" w:hAnsi="Arial" w:cs="Arial"/>
          <w:b/>
          <w:i w:val="0"/>
          <w:color w:val="000000" w:themeColor="text1"/>
          <w:sz w:val="22"/>
          <w:szCs w:val="22"/>
        </w:rPr>
        <w:t>indicador, Índice de Fortaleza F</w:t>
      </w:r>
      <w:r w:rsidR="00811B36" w:rsidRPr="00CB3BD2">
        <w:rPr>
          <w:rFonts w:ascii="Arial" w:hAnsi="Arial" w:cs="Arial"/>
          <w:b/>
          <w:i w:val="0"/>
          <w:color w:val="000000" w:themeColor="text1"/>
          <w:sz w:val="22"/>
          <w:szCs w:val="22"/>
        </w:rPr>
        <w:t xml:space="preserve">iscal y ranking por provincia </w:t>
      </w:r>
    </w:p>
    <w:tbl>
      <w:tblPr>
        <w:tblW w:w="10509" w:type="dxa"/>
        <w:jc w:val="center"/>
        <w:tblCellMar>
          <w:left w:w="70" w:type="dxa"/>
          <w:right w:w="70" w:type="dxa"/>
        </w:tblCellMar>
        <w:tblLook w:val="04A0" w:firstRow="1" w:lastRow="0" w:firstColumn="1" w:lastColumn="0" w:noHBand="0" w:noVBand="1"/>
      </w:tblPr>
      <w:tblGrid>
        <w:gridCol w:w="1740"/>
        <w:gridCol w:w="631"/>
        <w:gridCol w:w="911"/>
        <w:gridCol w:w="870"/>
        <w:gridCol w:w="781"/>
        <w:gridCol w:w="631"/>
        <w:gridCol w:w="801"/>
        <w:gridCol w:w="881"/>
        <w:gridCol w:w="761"/>
        <w:gridCol w:w="600"/>
        <w:gridCol w:w="600"/>
        <w:gridCol w:w="600"/>
        <w:gridCol w:w="851"/>
      </w:tblGrid>
      <w:tr w:rsidR="00717C57" w:rsidRPr="00CB3BD2" w:rsidTr="00717C57">
        <w:trPr>
          <w:trHeight w:val="300"/>
          <w:jc w:val="center"/>
        </w:trPr>
        <w:tc>
          <w:tcPr>
            <w:tcW w:w="174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lang w:val="es-AR" w:eastAsia="es-AR"/>
              </w:rPr>
            </w:pPr>
            <w:r w:rsidRPr="00CB3BD2">
              <w:rPr>
                <w:rFonts w:ascii="Arial" w:eastAsia="Times New Roman" w:hAnsi="Arial" w:cs="Arial"/>
                <w:b/>
                <w:bCs/>
                <w:color w:val="000000"/>
                <w:lang w:val="es-AR" w:eastAsia="es-AR"/>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PERS</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RESCOR</w:t>
            </w:r>
          </w:p>
        </w:tc>
        <w:tc>
          <w:tcPr>
            <w:tcW w:w="861"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TRANSF</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DEUDA</w:t>
            </w:r>
          </w:p>
        </w:tc>
        <w:tc>
          <w:tcPr>
            <w:tcW w:w="621"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SERV</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RESFIN</w:t>
            </w:r>
          </w:p>
        </w:tc>
        <w:tc>
          <w:tcPr>
            <w:tcW w:w="861"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TRANSP</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SERVD</w:t>
            </w:r>
          </w:p>
        </w:tc>
        <w:tc>
          <w:tcPr>
            <w:tcW w:w="600"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IIBB</w:t>
            </w:r>
          </w:p>
        </w:tc>
        <w:tc>
          <w:tcPr>
            <w:tcW w:w="600" w:type="dxa"/>
            <w:tcBorders>
              <w:top w:val="single" w:sz="4" w:space="0" w:color="auto"/>
              <w:left w:val="nil"/>
              <w:bottom w:val="single" w:sz="4" w:space="0" w:color="auto"/>
              <w:right w:val="single" w:sz="4" w:space="0" w:color="auto"/>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b/>
                <w:bCs/>
                <w:color w:val="000000"/>
                <w:sz w:val="18"/>
                <w:szCs w:val="18"/>
                <w:lang w:val="es-AR" w:eastAsia="es-AR"/>
              </w:rPr>
            </w:pPr>
            <w:r w:rsidRPr="00CB3BD2">
              <w:rPr>
                <w:rFonts w:ascii="Arial" w:eastAsia="Times New Roman" w:hAnsi="Arial" w:cs="Arial"/>
                <w:b/>
                <w:bCs/>
                <w:color w:val="000000"/>
                <w:sz w:val="18"/>
                <w:szCs w:val="18"/>
                <w:lang w:val="es-AR" w:eastAsia="es-AR"/>
              </w:rPr>
              <w:t>PT</w:t>
            </w:r>
          </w:p>
        </w:tc>
        <w:tc>
          <w:tcPr>
            <w:tcW w:w="600" w:type="dxa"/>
            <w:tcBorders>
              <w:top w:val="single" w:sz="4" w:space="0" w:color="auto"/>
              <w:left w:val="nil"/>
              <w:bottom w:val="single" w:sz="4" w:space="0" w:color="auto"/>
              <w:right w:val="single" w:sz="4" w:space="0" w:color="auto"/>
            </w:tcBorders>
            <w:shd w:val="clear" w:color="000000" w:fill="002060"/>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IFF</w:t>
            </w:r>
          </w:p>
        </w:tc>
        <w:tc>
          <w:tcPr>
            <w:tcW w:w="801" w:type="dxa"/>
            <w:tcBorders>
              <w:top w:val="single" w:sz="4" w:space="0" w:color="auto"/>
              <w:left w:val="nil"/>
              <w:bottom w:val="single" w:sz="4" w:space="0" w:color="auto"/>
              <w:right w:val="single" w:sz="4" w:space="0" w:color="auto"/>
            </w:tcBorders>
            <w:shd w:val="clear" w:color="000000" w:fill="002060"/>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Ranking</w:t>
            </w:r>
          </w:p>
        </w:tc>
      </w:tr>
      <w:tr w:rsidR="00717C57" w:rsidRPr="00CB3BD2" w:rsidTr="00717C5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Catamarca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64</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51</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53</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23</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14</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16</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13</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40</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28</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San Juan</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52</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23</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52</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37</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14</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12</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84</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16</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41</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30</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2</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Santiago del Estero</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45</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85</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14</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37</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48</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52</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31</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3</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San Luis</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43</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25</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0</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39</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85</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0</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27</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57</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32</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Corrientes</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84</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71</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38</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23</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36</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15</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21</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38</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34</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Formosa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54</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74</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34</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33</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25</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35</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50</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37</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6</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Santa Fe</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57</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71</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43</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12</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48</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94</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38</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55</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38</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7</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Tucumán</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78</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78</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48</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11</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39</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25</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48</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33</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86</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43</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8</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Córdoba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51</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59</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47</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45</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17</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37</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0</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44</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96</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44</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9</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Chaco</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68</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84</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64</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46</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39</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62</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33</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17</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45</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44</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10</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La Pampa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57</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63</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50</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46</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70</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11</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25</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45</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11</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Entre Ríos</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65</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86</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68</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58</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44</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36</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69</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47</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12</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Tierra del Fuego</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65</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42</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55</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20</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45</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42</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24</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62</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49</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13</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Misiones</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66</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72</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82</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26</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57</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36</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66</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49</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14</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Río Negro</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91</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27</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48</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53</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65</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15</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33</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63</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51</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15</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Santa Cruz</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76</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37</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57</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29</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79</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38</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33</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54</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51</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16</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CABA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67</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55</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16</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56</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49</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54</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89</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52</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17</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Neuquén</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70</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92</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34</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65</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42</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65</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29</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75</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33</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62</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54</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18</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Mendoza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68</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77</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45</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78</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55</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27</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61</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76</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55</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19</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Salta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81</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92</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59</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55</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70</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72</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16</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34</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26</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70</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55</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20</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Jujuy</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82</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97</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87</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48</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61</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22</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43</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17</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43</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56</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21</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La Rioja</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73</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93</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60</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24</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46</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49</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12</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37</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57</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22</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Buenos Aires</w:t>
            </w:r>
          </w:p>
        </w:tc>
        <w:tc>
          <w:tcPr>
            <w:tcW w:w="6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59</w:t>
            </w:r>
          </w:p>
        </w:tc>
        <w:tc>
          <w:tcPr>
            <w:tcW w:w="89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80</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61</w:t>
            </w:r>
          </w:p>
        </w:tc>
        <w:tc>
          <w:tcPr>
            <w:tcW w:w="78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84</w:t>
            </w:r>
          </w:p>
        </w:tc>
        <w:tc>
          <w:tcPr>
            <w:tcW w:w="62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63</w:t>
            </w:r>
          </w:p>
        </w:tc>
        <w:tc>
          <w:tcPr>
            <w:tcW w:w="80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48</w:t>
            </w:r>
          </w:p>
        </w:tc>
        <w:tc>
          <w:tcPr>
            <w:tcW w:w="86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13</w:t>
            </w:r>
          </w:p>
        </w:tc>
        <w:tc>
          <w:tcPr>
            <w:tcW w:w="751"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69</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47</w:t>
            </w:r>
          </w:p>
        </w:tc>
        <w:tc>
          <w:tcPr>
            <w:tcW w:w="600" w:type="dxa"/>
            <w:tcBorders>
              <w:top w:val="nil"/>
              <w:left w:val="nil"/>
              <w:bottom w:val="nil"/>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93</w:t>
            </w:r>
          </w:p>
        </w:tc>
        <w:tc>
          <w:tcPr>
            <w:tcW w:w="600"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58</w:t>
            </w:r>
          </w:p>
        </w:tc>
        <w:tc>
          <w:tcPr>
            <w:tcW w:w="801" w:type="dxa"/>
            <w:tcBorders>
              <w:top w:val="nil"/>
              <w:left w:val="nil"/>
              <w:bottom w:val="nil"/>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23</w:t>
            </w:r>
          </w:p>
        </w:tc>
      </w:tr>
      <w:tr w:rsidR="00717C57" w:rsidRPr="00CB3BD2" w:rsidTr="00717C57">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717C57" w:rsidRPr="00CB3BD2" w:rsidRDefault="00717C57" w:rsidP="00717C57">
            <w:pPr>
              <w:spacing w:after="0" w:line="240" w:lineRule="auto"/>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Chubut</w:t>
            </w:r>
          </w:p>
        </w:tc>
        <w:tc>
          <w:tcPr>
            <w:tcW w:w="60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80</w:t>
            </w:r>
          </w:p>
        </w:tc>
        <w:tc>
          <w:tcPr>
            <w:tcW w:w="89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93</w:t>
            </w:r>
          </w:p>
        </w:tc>
        <w:tc>
          <w:tcPr>
            <w:tcW w:w="86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26</w:t>
            </w:r>
          </w:p>
        </w:tc>
        <w:tc>
          <w:tcPr>
            <w:tcW w:w="78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62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80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100</w:t>
            </w:r>
          </w:p>
        </w:tc>
        <w:tc>
          <w:tcPr>
            <w:tcW w:w="86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55</w:t>
            </w:r>
          </w:p>
        </w:tc>
        <w:tc>
          <w:tcPr>
            <w:tcW w:w="751"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55</w:t>
            </w:r>
          </w:p>
        </w:tc>
        <w:tc>
          <w:tcPr>
            <w:tcW w:w="600"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29</w:t>
            </w:r>
          </w:p>
        </w:tc>
        <w:tc>
          <w:tcPr>
            <w:tcW w:w="600" w:type="dxa"/>
            <w:tcBorders>
              <w:top w:val="nil"/>
              <w:left w:val="nil"/>
              <w:bottom w:val="single" w:sz="4" w:space="0" w:color="auto"/>
              <w:right w:val="nil"/>
            </w:tcBorders>
            <w:shd w:val="clear" w:color="000000" w:fill="FFFFFF"/>
            <w:noWrap/>
            <w:vAlign w:val="bottom"/>
            <w:hideMark/>
          </w:tcPr>
          <w:p w:rsidR="00717C57" w:rsidRPr="00CB3BD2" w:rsidRDefault="00717C57" w:rsidP="00717C57">
            <w:pPr>
              <w:spacing w:after="0" w:line="240" w:lineRule="auto"/>
              <w:jc w:val="center"/>
              <w:rPr>
                <w:rFonts w:ascii="Arial" w:eastAsia="Times New Roman" w:hAnsi="Arial" w:cs="Arial"/>
                <w:color w:val="000000"/>
                <w:sz w:val="18"/>
                <w:szCs w:val="18"/>
                <w:lang w:val="es-AR" w:eastAsia="es-AR"/>
              </w:rPr>
            </w:pPr>
            <w:r w:rsidRPr="00CB3BD2">
              <w:rPr>
                <w:rFonts w:ascii="Arial" w:eastAsia="Times New Roman" w:hAnsi="Arial" w:cs="Arial"/>
                <w:color w:val="000000"/>
                <w:sz w:val="18"/>
                <w:szCs w:val="18"/>
                <w:lang w:val="es-AR" w:eastAsia="es-AR"/>
              </w:rPr>
              <w:t>52</w:t>
            </w:r>
          </w:p>
        </w:tc>
        <w:tc>
          <w:tcPr>
            <w:tcW w:w="600" w:type="dxa"/>
            <w:tcBorders>
              <w:top w:val="nil"/>
              <w:left w:val="nil"/>
              <w:bottom w:val="single" w:sz="4" w:space="0" w:color="auto"/>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68</w:t>
            </w:r>
          </w:p>
        </w:tc>
        <w:tc>
          <w:tcPr>
            <w:tcW w:w="801" w:type="dxa"/>
            <w:tcBorders>
              <w:top w:val="nil"/>
              <w:left w:val="nil"/>
              <w:bottom w:val="single" w:sz="4" w:space="0" w:color="auto"/>
              <w:right w:val="single" w:sz="4" w:space="0" w:color="auto"/>
            </w:tcBorders>
            <w:shd w:val="clear" w:color="000000" w:fill="8EA9DB"/>
            <w:noWrap/>
            <w:vAlign w:val="bottom"/>
            <w:hideMark/>
          </w:tcPr>
          <w:p w:rsidR="00717C57" w:rsidRPr="00CB3BD2" w:rsidRDefault="00717C57" w:rsidP="00717C57">
            <w:pPr>
              <w:spacing w:after="0" w:line="240" w:lineRule="auto"/>
              <w:jc w:val="center"/>
              <w:rPr>
                <w:rFonts w:ascii="Arial" w:eastAsia="Times New Roman" w:hAnsi="Arial" w:cs="Arial"/>
                <w:b/>
                <w:bCs/>
                <w:color w:val="FFFFFF"/>
                <w:sz w:val="18"/>
                <w:szCs w:val="18"/>
                <w:lang w:val="es-AR" w:eastAsia="es-AR"/>
              </w:rPr>
            </w:pPr>
            <w:r w:rsidRPr="00CB3BD2">
              <w:rPr>
                <w:rFonts w:ascii="Arial" w:eastAsia="Times New Roman" w:hAnsi="Arial" w:cs="Arial"/>
                <w:b/>
                <w:bCs/>
                <w:color w:val="FFFFFF"/>
                <w:sz w:val="18"/>
                <w:szCs w:val="18"/>
                <w:lang w:val="es-AR" w:eastAsia="es-AR"/>
              </w:rPr>
              <w:t>24</w:t>
            </w:r>
          </w:p>
        </w:tc>
      </w:tr>
    </w:tbl>
    <w:p w:rsidR="00717C57" w:rsidRDefault="00717C57" w:rsidP="00EE4B50">
      <w:pPr>
        <w:spacing w:after="0" w:line="480" w:lineRule="auto"/>
        <w:jc w:val="both"/>
        <w:rPr>
          <w:rFonts w:ascii="Times New Roman" w:hAnsi="Times New Roman" w:cs="Times New Roman"/>
          <w:color w:val="1F497D" w:themeColor="text2"/>
          <w:sz w:val="24"/>
          <w:szCs w:val="24"/>
        </w:rPr>
      </w:pPr>
    </w:p>
    <w:p w:rsidR="009A4D0B" w:rsidRDefault="009A4D0B" w:rsidP="00CB3BD2">
      <w:pPr>
        <w:spacing w:after="0" w:line="360" w:lineRule="auto"/>
        <w:jc w:val="both"/>
        <w:rPr>
          <w:rFonts w:ascii="Arial" w:hAnsi="Arial" w:cs="Arial"/>
          <w:color w:val="000000" w:themeColor="text1"/>
        </w:rPr>
      </w:pPr>
      <w:r w:rsidRPr="00CB3BD2">
        <w:rPr>
          <w:rFonts w:ascii="Arial" w:hAnsi="Arial" w:cs="Arial"/>
          <w:color w:val="000000" w:themeColor="text1"/>
        </w:rPr>
        <w:t>Los resultados no difieren en demasía de los obtenidos al implementar otras alternativas de ponderación. Las provincias de Catamarca, San Juan, Santiago del Estero, San Luis y Corrientes presentan los mejores desempeños en términos de fortaleza fiscal</w:t>
      </w:r>
      <w:r w:rsidR="00795F5F" w:rsidRPr="00CB3BD2">
        <w:rPr>
          <w:rFonts w:ascii="Arial" w:hAnsi="Arial" w:cs="Arial"/>
          <w:color w:val="000000" w:themeColor="text1"/>
        </w:rPr>
        <w:t>,</w:t>
      </w:r>
      <w:r w:rsidRPr="00CB3BD2">
        <w:rPr>
          <w:rFonts w:ascii="Arial" w:hAnsi="Arial" w:cs="Arial"/>
          <w:color w:val="000000" w:themeColor="text1"/>
        </w:rPr>
        <w:t xml:space="preserve"> mientras que lo contrario ocurre con Chubut, Buenos Aires, La Rioja, Jujuy y Salta. </w:t>
      </w:r>
    </w:p>
    <w:p w:rsidR="00733F41" w:rsidRPr="00CB3BD2" w:rsidRDefault="00733F41" w:rsidP="00CB3BD2">
      <w:pPr>
        <w:spacing w:after="0" w:line="360" w:lineRule="auto"/>
        <w:jc w:val="both"/>
        <w:rPr>
          <w:rFonts w:ascii="Arial" w:hAnsi="Arial" w:cs="Arial"/>
          <w:color w:val="000000" w:themeColor="text1"/>
        </w:rPr>
      </w:pPr>
    </w:p>
    <w:p w:rsidR="009A4D0B" w:rsidRPr="00CB3BD2" w:rsidRDefault="005E4019" w:rsidP="00CB3BD2">
      <w:pPr>
        <w:spacing w:after="0" w:line="360" w:lineRule="auto"/>
        <w:jc w:val="both"/>
        <w:rPr>
          <w:rFonts w:ascii="Arial" w:hAnsi="Arial" w:cs="Arial"/>
          <w:color w:val="000000" w:themeColor="text1"/>
        </w:rPr>
      </w:pPr>
      <w:r w:rsidRPr="00CB3BD2">
        <w:rPr>
          <w:rFonts w:ascii="Arial" w:hAnsi="Arial" w:cs="Arial"/>
          <w:color w:val="000000" w:themeColor="text1"/>
        </w:rPr>
        <w:t>En términos regionales, se observa que la región de Cuyo presenta la mayor fortaleza fiscal</w:t>
      </w:r>
      <w:r w:rsidR="00795F5F" w:rsidRPr="00CB3BD2">
        <w:rPr>
          <w:rFonts w:ascii="Arial" w:hAnsi="Arial" w:cs="Arial"/>
          <w:color w:val="000000" w:themeColor="text1"/>
        </w:rPr>
        <w:t>,</w:t>
      </w:r>
      <w:r w:rsidRPr="00CB3BD2">
        <w:rPr>
          <w:rFonts w:ascii="Arial" w:hAnsi="Arial" w:cs="Arial"/>
          <w:color w:val="000000" w:themeColor="text1"/>
        </w:rPr>
        <w:t xml:space="preserve"> mientras que la Patagonia</w:t>
      </w:r>
      <w:r w:rsidR="00E45C0B" w:rsidRPr="00CB3BD2">
        <w:rPr>
          <w:rFonts w:ascii="Arial" w:hAnsi="Arial" w:cs="Arial"/>
          <w:color w:val="000000" w:themeColor="text1"/>
        </w:rPr>
        <w:t xml:space="preserve"> manifiesta la situación opuesta. </w:t>
      </w:r>
    </w:p>
    <w:p w:rsidR="00793D77" w:rsidRDefault="00793D77" w:rsidP="00EE4B50">
      <w:pPr>
        <w:spacing w:after="0" w:line="480" w:lineRule="auto"/>
        <w:jc w:val="both"/>
        <w:rPr>
          <w:rFonts w:ascii="Times New Roman" w:hAnsi="Times New Roman" w:cs="Times New Roman"/>
          <w:color w:val="000000" w:themeColor="text1"/>
          <w:sz w:val="24"/>
          <w:szCs w:val="24"/>
        </w:rPr>
      </w:pPr>
    </w:p>
    <w:p w:rsidR="00793D77" w:rsidRDefault="00793D77" w:rsidP="00EE4B50">
      <w:pPr>
        <w:spacing w:after="0" w:line="480" w:lineRule="auto"/>
        <w:jc w:val="both"/>
        <w:rPr>
          <w:rFonts w:ascii="Times New Roman" w:hAnsi="Times New Roman" w:cs="Times New Roman"/>
          <w:color w:val="000000" w:themeColor="text1"/>
          <w:sz w:val="24"/>
          <w:szCs w:val="24"/>
        </w:rPr>
      </w:pPr>
    </w:p>
    <w:p w:rsidR="00E45C0B" w:rsidRPr="005E4019" w:rsidRDefault="00E45C0B" w:rsidP="00EE4B50">
      <w:pPr>
        <w:spacing w:after="0" w:line="480" w:lineRule="auto"/>
        <w:jc w:val="both"/>
        <w:rPr>
          <w:rFonts w:ascii="Times New Roman" w:hAnsi="Times New Roman" w:cs="Times New Roman"/>
          <w:color w:val="000000" w:themeColor="text1"/>
          <w:sz w:val="24"/>
          <w:szCs w:val="24"/>
        </w:rPr>
      </w:pPr>
    </w:p>
    <w:p w:rsidR="00DA2D9D" w:rsidRPr="00CB3BD2" w:rsidRDefault="00DA2D9D" w:rsidP="00DA2D9D">
      <w:pPr>
        <w:pStyle w:val="Epgrafe"/>
        <w:keepNext/>
        <w:jc w:val="center"/>
        <w:rPr>
          <w:rFonts w:ascii="Arial" w:hAnsi="Arial" w:cs="Arial"/>
          <w:b/>
          <w:i w:val="0"/>
          <w:color w:val="auto"/>
          <w:sz w:val="22"/>
          <w:szCs w:val="22"/>
        </w:rPr>
      </w:pPr>
      <w:r w:rsidRPr="00CB3BD2">
        <w:rPr>
          <w:rFonts w:ascii="Arial" w:hAnsi="Arial" w:cs="Arial"/>
          <w:b/>
          <w:i w:val="0"/>
          <w:color w:val="auto"/>
          <w:sz w:val="22"/>
          <w:szCs w:val="22"/>
        </w:rPr>
        <w:t xml:space="preserve">Tabla </w:t>
      </w:r>
      <w:r w:rsidR="00E17F18" w:rsidRPr="00CB3BD2">
        <w:rPr>
          <w:rFonts w:ascii="Arial" w:hAnsi="Arial" w:cs="Arial"/>
          <w:b/>
          <w:i w:val="0"/>
          <w:color w:val="auto"/>
          <w:sz w:val="22"/>
          <w:szCs w:val="22"/>
        </w:rPr>
        <w:fldChar w:fldCharType="begin"/>
      </w:r>
      <w:r w:rsidR="00A13B3B" w:rsidRPr="00CB3BD2">
        <w:rPr>
          <w:rFonts w:ascii="Arial" w:hAnsi="Arial" w:cs="Arial"/>
          <w:b/>
          <w:i w:val="0"/>
          <w:color w:val="auto"/>
          <w:sz w:val="22"/>
          <w:szCs w:val="22"/>
        </w:rPr>
        <w:instrText xml:space="preserve"> SEQ Tabla \* ARABIC </w:instrText>
      </w:r>
      <w:r w:rsidR="00E17F18" w:rsidRPr="00CB3BD2">
        <w:rPr>
          <w:rFonts w:ascii="Arial" w:hAnsi="Arial" w:cs="Arial"/>
          <w:b/>
          <w:i w:val="0"/>
          <w:color w:val="auto"/>
          <w:sz w:val="22"/>
          <w:szCs w:val="22"/>
        </w:rPr>
        <w:fldChar w:fldCharType="separate"/>
      </w:r>
      <w:r w:rsidR="0084386F">
        <w:rPr>
          <w:rFonts w:ascii="Arial" w:hAnsi="Arial" w:cs="Arial"/>
          <w:b/>
          <w:i w:val="0"/>
          <w:noProof/>
          <w:color w:val="auto"/>
          <w:sz w:val="22"/>
          <w:szCs w:val="22"/>
        </w:rPr>
        <w:t>10</w:t>
      </w:r>
      <w:r w:rsidR="00E17F18" w:rsidRPr="00CB3BD2">
        <w:rPr>
          <w:rFonts w:ascii="Arial" w:hAnsi="Arial" w:cs="Arial"/>
          <w:b/>
          <w:i w:val="0"/>
          <w:color w:val="auto"/>
          <w:sz w:val="22"/>
          <w:szCs w:val="22"/>
        </w:rPr>
        <w:fldChar w:fldCharType="end"/>
      </w:r>
      <w:r w:rsidRPr="00CB3BD2">
        <w:rPr>
          <w:rFonts w:ascii="Arial" w:hAnsi="Arial" w:cs="Arial"/>
          <w:b/>
          <w:i w:val="0"/>
          <w:color w:val="auto"/>
          <w:sz w:val="22"/>
          <w:szCs w:val="22"/>
        </w:rPr>
        <w:t>: Puntaje obtenido por indicador, Índice de Fortaleza Fiscal y ranking por región</w:t>
      </w:r>
    </w:p>
    <w:tbl>
      <w:tblPr>
        <w:tblW w:w="9758" w:type="dxa"/>
        <w:tblInd w:w="70" w:type="dxa"/>
        <w:tblCellMar>
          <w:left w:w="70" w:type="dxa"/>
          <w:right w:w="70" w:type="dxa"/>
        </w:tblCellMar>
        <w:tblLook w:val="04A0" w:firstRow="1" w:lastRow="0" w:firstColumn="1" w:lastColumn="0" w:noHBand="0" w:noVBand="1"/>
      </w:tblPr>
      <w:tblGrid>
        <w:gridCol w:w="1070"/>
        <w:gridCol w:w="648"/>
        <w:gridCol w:w="935"/>
        <w:gridCol w:w="893"/>
        <w:gridCol w:w="802"/>
        <w:gridCol w:w="648"/>
        <w:gridCol w:w="822"/>
        <w:gridCol w:w="904"/>
        <w:gridCol w:w="781"/>
        <w:gridCol w:w="513"/>
        <w:gridCol w:w="381"/>
        <w:gridCol w:w="510"/>
        <w:gridCol w:w="851"/>
      </w:tblGrid>
      <w:tr w:rsidR="00DA2D9D" w:rsidRPr="00CB3BD2" w:rsidTr="005E4019">
        <w:trPr>
          <w:trHeight w:val="250"/>
        </w:trPr>
        <w:tc>
          <w:tcPr>
            <w:tcW w:w="0" w:type="auto"/>
            <w:tcBorders>
              <w:top w:val="nil"/>
              <w:left w:val="nil"/>
              <w:bottom w:val="nil"/>
              <w:right w:val="nil"/>
            </w:tcBorders>
            <w:shd w:val="clear" w:color="000000" w:fill="FFFFFF"/>
            <w:noWrap/>
            <w:vAlign w:val="bottom"/>
            <w:hideMark/>
          </w:tcPr>
          <w:p w:rsidR="00DA2D9D" w:rsidRPr="00CB3BD2" w:rsidRDefault="00DA2D9D" w:rsidP="00DA2D9D">
            <w:pPr>
              <w:spacing w:after="0" w:line="240" w:lineRule="auto"/>
              <w:jc w:val="center"/>
              <w:rPr>
                <w:rFonts w:ascii="Arial" w:eastAsia="Times New Roman" w:hAnsi="Arial" w:cs="Arial"/>
                <w:b/>
                <w:bCs/>
                <w:color w:val="000000"/>
                <w:sz w:val="18"/>
                <w:szCs w:val="18"/>
              </w:rPr>
            </w:pPr>
            <w:r w:rsidRPr="00CB3BD2">
              <w:rPr>
                <w:rFonts w:ascii="Arial" w:eastAsia="Times New Roman" w:hAnsi="Arial" w:cs="Arial"/>
                <w:b/>
                <w:bCs/>
                <w:color w:val="000000"/>
                <w:sz w:val="18"/>
                <w:szCs w:val="18"/>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PERS</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RESCOR</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TRANSF</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DEUDA</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SERV</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RESFIN</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TRANSP</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SERVD</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IIBB</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b/>
                <w:bCs/>
                <w:color w:val="000000"/>
                <w:sz w:val="18"/>
                <w:szCs w:val="18"/>
              </w:rPr>
            </w:pPr>
            <w:r w:rsidRPr="00E64037">
              <w:rPr>
                <w:rFonts w:ascii="Arial" w:eastAsia="Times New Roman" w:hAnsi="Arial" w:cs="Arial"/>
                <w:b/>
                <w:bCs/>
                <w:color w:val="000000"/>
                <w:sz w:val="18"/>
                <w:szCs w:val="18"/>
                <w:lang w:val="es-AR"/>
              </w:rPr>
              <w:t>PT</w:t>
            </w:r>
          </w:p>
        </w:tc>
        <w:tc>
          <w:tcPr>
            <w:tcW w:w="510" w:type="dxa"/>
            <w:tcBorders>
              <w:top w:val="single" w:sz="4" w:space="0" w:color="auto"/>
              <w:left w:val="single" w:sz="4" w:space="0" w:color="auto"/>
              <w:bottom w:val="nil"/>
              <w:right w:val="single" w:sz="4" w:space="0" w:color="auto"/>
            </w:tcBorders>
            <w:shd w:val="clear" w:color="000000" w:fill="002060"/>
            <w:noWrap/>
            <w:vAlign w:val="bottom"/>
            <w:hideMark/>
          </w:tcPr>
          <w:p w:rsidR="00DA2D9D" w:rsidRPr="00E64037" w:rsidRDefault="00DA2D9D" w:rsidP="00DA2D9D">
            <w:pPr>
              <w:spacing w:after="0" w:line="240" w:lineRule="auto"/>
              <w:jc w:val="center"/>
              <w:rPr>
                <w:rFonts w:ascii="Arial" w:eastAsia="Times New Roman" w:hAnsi="Arial" w:cs="Arial"/>
                <w:b/>
                <w:bCs/>
                <w:color w:val="FFFFFF"/>
                <w:sz w:val="18"/>
                <w:szCs w:val="18"/>
              </w:rPr>
            </w:pPr>
            <w:r w:rsidRPr="00E64037">
              <w:rPr>
                <w:rFonts w:ascii="Arial" w:eastAsia="Times New Roman" w:hAnsi="Arial" w:cs="Arial"/>
                <w:b/>
                <w:bCs/>
                <w:color w:val="FFFFFF"/>
                <w:sz w:val="18"/>
                <w:szCs w:val="18"/>
                <w:lang w:val="es-AR"/>
              </w:rPr>
              <w:t>IFF</w:t>
            </w:r>
          </w:p>
        </w:tc>
        <w:tc>
          <w:tcPr>
            <w:tcW w:w="832" w:type="dxa"/>
            <w:tcBorders>
              <w:top w:val="single" w:sz="4" w:space="0" w:color="auto"/>
              <w:left w:val="nil"/>
              <w:bottom w:val="nil"/>
              <w:right w:val="single" w:sz="4" w:space="0" w:color="auto"/>
            </w:tcBorders>
            <w:shd w:val="clear" w:color="000000" w:fill="002060"/>
            <w:noWrap/>
            <w:vAlign w:val="bottom"/>
            <w:hideMark/>
          </w:tcPr>
          <w:p w:rsidR="00DA2D9D" w:rsidRPr="00E64037" w:rsidRDefault="00DA2D9D" w:rsidP="00DA2D9D">
            <w:pPr>
              <w:spacing w:after="0" w:line="240" w:lineRule="auto"/>
              <w:jc w:val="center"/>
              <w:rPr>
                <w:rFonts w:ascii="Arial" w:eastAsia="Times New Roman" w:hAnsi="Arial" w:cs="Arial"/>
                <w:b/>
                <w:bCs/>
                <w:color w:val="FFFFFF"/>
                <w:sz w:val="18"/>
                <w:szCs w:val="18"/>
              </w:rPr>
            </w:pPr>
            <w:r w:rsidRPr="00E64037">
              <w:rPr>
                <w:rFonts w:ascii="Arial" w:eastAsia="Times New Roman" w:hAnsi="Arial" w:cs="Arial"/>
                <w:b/>
                <w:bCs/>
                <w:color w:val="FFFFFF"/>
                <w:sz w:val="18"/>
                <w:szCs w:val="18"/>
                <w:lang w:val="es-AR"/>
              </w:rPr>
              <w:t>Ranking</w:t>
            </w:r>
          </w:p>
        </w:tc>
      </w:tr>
      <w:tr w:rsidR="00DA2D9D" w:rsidRPr="00CB3BD2" w:rsidTr="005E4019">
        <w:trPr>
          <w:trHeight w:val="313"/>
        </w:trPr>
        <w:tc>
          <w:tcPr>
            <w:tcW w:w="0" w:type="auto"/>
            <w:tcBorders>
              <w:top w:val="single" w:sz="4" w:space="0" w:color="auto"/>
              <w:left w:val="single" w:sz="4" w:space="0" w:color="auto"/>
              <w:bottom w:val="single" w:sz="4" w:space="0" w:color="auto"/>
              <w:right w:val="nil"/>
            </w:tcBorders>
            <w:shd w:val="clear" w:color="000000" w:fill="FFFFFF"/>
            <w:noWrap/>
            <w:vAlign w:val="bottom"/>
            <w:hideMark/>
          </w:tcPr>
          <w:p w:rsidR="00DA2D9D" w:rsidRPr="00E64037" w:rsidRDefault="00DA2D9D" w:rsidP="00DA2D9D">
            <w:pPr>
              <w:spacing w:after="0" w:line="240" w:lineRule="auto"/>
              <w:rPr>
                <w:rFonts w:ascii="Arial" w:eastAsia="Times New Roman" w:hAnsi="Arial" w:cs="Arial"/>
                <w:color w:val="000000"/>
                <w:sz w:val="18"/>
                <w:szCs w:val="18"/>
              </w:rPr>
            </w:pPr>
            <w:r w:rsidRPr="00E64037">
              <w:rPr>
                <w:rFonts w:ascii="Arial" w:eastAsia="Times New Roman" w:hAnsi="Arial" w:cs="Arial"/>
                <w:color w:val="000000"/>
                <w:sz w:val="18"/>
                <w:szCs w:val="18"/>
              </w:rPr>
              <w:t>Cuyo</w:t>
            </w:r>
          </w:p>
        </w:tc>
        <w:tc>
          <w:tcPr>
            <w:tcW w:w="0" w:type="auto"/>
            <w:tcBorders>
              <w:top w:val="single" w:sz="4" w:space="0" w:color="auto"/>
              <w:left w:val="single" w:sz="4" w:space="0" w:color="auto"/>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0</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6</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8</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0</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single" w:sz="4" w:space="0" w:color="auto"/>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0" w:type="auto"/>
            <w:tcBorders>
              <w:top w:val="single" w:sz="4" w:space="0" w:color="auto"/>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510" w:type="dxa"/>
            <w:tcBorders>
              <w:top w:val="single" w:sz="4" w:space="0" w:color="auto"/>
              <w:left w:val="nil"/>
              <w:bottom w:val="nil"/>
              <w:right w:val="single" w:sz="4" w:space="0" w:color="auto"/>
            </w:tcBorders>
            <w:shd w:val="clear" w:color="000000" w:fill="8EAADC"/>
            <w:noWrap/>
            <w:vAlign w:val="bottom"/>
            <w:hideMark/>
          </w:tcPr>
          <w:p w:rsidR="00DA2D9D" w:rsidRPr="00E64037" w:rsidRDefault="00D26DAD" w:rsidP="00DA2D9D">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4,</w:t>
            </w:r>
            <w:r w:rsidR="00E64037">
              <w:rPr>
                <w:rFonts w:ascii="Arial" w:eastAsia="Times New Roman" w:hAnsi="Arial" w:cs="Arial"/>
                <w:b/>
                <w:bCs/>
                <w:color w:val="FFFFFF"/>
                <w:sz w:val="18"/>
                <w:szCs w:val="18"/>
              </w:rPr>
              <w:t>9</w:t>
            </w:r>
          </w:p>
        </w:tc>
        <w:tc>
          <w:tcPr>
            <w:tcW w:w="832" w:type="dxa"/>
            <w:tcBorders>
              <w:top w:val="single" w:sz="4" w:space="0" w:color="auto"/>
              <w:left w:val="nil"/>
              <w:bottom w:val="nil"/>
              <w:right w:val="single" w:sz="4" w:space="0" w:color="auto"/>
            </w:tcBorders>
            <w:shd w:val="clear" w:color="000000" w:fill="8EAADC"/>
            <w:noWrap/>
            <w:vAlign w:val="bottom"/>
            <w:hideMark/>
          </w:tcPr>
          <w:p w:rsidR="00DA2D9D" w:rsidRPr="00E64037" w:rsidRDefault="00DA2D9D" w:rsidP="00DA2D9D">
            <w:pPr>
              <w:spacing w:after="0" w:line="240" w:lineRule="auto"/>
              <w:jc w:val="center"/>
              <w:rPr>
                <w:rFonts w:ascii="Arial" w:eastAsia="Times New Roman" w:hAnsi="Arial" w:cs="Arial"/>
                <w:b/>
                <w:bCs/>
                <w:color w:val="FFFFFF"/>
                <w:sz w:val="18"/>
                <w:szCs w:val="18"/>
              </w:rPr>
            </w:pPr>
            <w:r w:rsidRPr="00E64037">
              <w:rPr>
                <w:rFonts w:ascii="Arial" w:eastAsia="Times New Roman" w:hAnsi="Arial" w:cs="Arial"/>
                <w:b/>
                <w:bCs/>
                <w:color w:val="FFFFFF"/>
                <w:sz w:val="18"/>
                <w:szCs w:val="18"/>
              </w:rPr>
              <w:t>1</w:t>
            </w:r>
          </w:p>
        </w:tc>
      </w:tr>
      <w:tr w:rsidR="00DA2D9D" w:rsidRPr="00CB3BD2" w:rsidTr="005E4019">
        <w:trPr>
          <w:trHeight w:val="313"/>
        </w:trPr>
        <w:tc>
          <w:tcPr>
            <w:tcW w:w="0" w:type="auto"/>
            <w:tcBorders>
              <w:top w:val="nil"/>
              <w:left w:val="single" w:sz="4" w:space="0" w:color="auto"/>
              <w:bottom w:val="single" w:sz="4" w:space="0" w:color="auto"/>
              <w:right w:val="nil"/>
            </w:tcBorders>
            <w:shd w:val="clear" w:color="000000" w:fill="FFFFFF"/>
            <w:noWrap/>
            <w:vAlign w:val="bottom"/>
            <w:hideMark/>
          </w:tcPr>
          <w:p w:rsidR="00DA2D9D" w:rsidRPr="00E64037" w:rsidRDefault="00DA2D9D" w:rsidP="00DA2D9D">
            <w:pPr>
              <w:spacing w:after="0" w:line="240" w:lineRule="auto"/>
              <w:rPr>
                <w:rFonts w:ascii="Arial" w:eastAsia="Times New Roman" w:hAnsi="Arial" w:cs="Arial"/>
                <w:color w:val="000000"/>
                <w:sz w:val="18"/>
                <w:szCs w:val="18"/>
              </w:rPr>
            </w:pPr>
            <w:r w:rsidRPr="00E64037">
              <w:rPr>
                <w:rFonts w:ascii="Arial" w:eastAsia="Times New Roman" w:hAnsi="Arial" w:cs="Arial"/>
                <w:color w:val="000000"/>
                <w:sz w:val="18"/>
                <w:szCs w:val="18"/>
              </w:rPr>
              <w:t>Noreste</w:t>
            </w:r>
          </w:p>
        </w:tc>
        <w:tc>
          <w:tcPr>
            <w:tcW w:w="0" w:type="auto"/>
            <w:tcBorders>
              <w:top w:val="nil"/>
              <w:left w:val="single" w:sz="4" w:space="0" w:color="auto"/>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8</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6</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9</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3</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2</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3</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4</w:t>
            </w:r>
          </w:p>
        </w:tc>
        <w:tc>
          <w:tcPr>
            <w:tcW w:w="0" w:type="auto"/>
            <w:tcBorders>
              <w:top w:val="nil"/>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6</w:t>
            </w:r>
          </w:p>
        </w:tc>
        <w:tc>
          <w:tcPr>
            <w:tcW w:w="510" w:type="dxa"/>
            <w:tcBorders>
              <w:top w:val="nil"/>
              <w:left w:val="nil"/>
              <w:bottom w:val="nil"/>
              <w:right w:val="single" w:sz="4" w:space="0" w:color="auto"/>
            </w:tcBorders>
            <w:shd w:val="clear" w:color="000000" w:fill="8EAADC"/>
            <w:noWrap/>
            <w:vAlign w:val="bottom"/>
            <w:hideMark/>
          </w:tcPr>
          <w:p w:rsidR="00DA2D9D" w:rsidRPr="00E64037" w:rsidRDefault="00E64037" w:rsidP="00DA2D9D">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5</w:t>
            </w:r>
            <w:r w:rsidR="00D26DAD">
              <w:rPr>
                <w:rFonts w:ascii="Arial" w:eastAsia="Times New Roman" w:hAnsi="Arial" w:cs="Arial"/>
                <w:b/>
                <w:bCs/>
                <w:color w:val="FFFFFF"/>
                <w:sz w:val="18"/>
                <w:szCs w:val="18"/>
              </w:rPr>
              <w:t>,</w:t>
            </w:r>
            <w:r>
              <w:rPr>
                <w:rFonts w:ascii="Arial" w:eastAsia="Times New Roman" w:hAnsi="Arial" w:cs="Arial"/>
                <w:b/>
                <w:bCs/>
                <w:color w:val="FFFFFF"/>
                <w:sz w:val="18"/>
                <w:szCs w:val="18"/>
              </w:rPr>
              <w:t>0</w:t>
            </w:r>
          </w:p>
        </w:tc>
        <w:tc>
          <w:tcPr>
            <w:tcW w:w="832" w:type="dxa"/>
            <w:tcBorders>
              <w:top w:val="nil"/>
              <w:left w:val="nil"/>
              <w:bottom w:val="nil"/>
              <w:right w:val="single" w:sz="4" w:space="0" w:color="auto"/>
            </w:tcBorders>
            <w:shd w:val="clear" w:color="000000" w:fill="8EAADC"/>
            <w:noWrap/>
            <w:vAlign w:val="bottom"/>
            <w:hideMark/>
          </w:tcPr>
          <w:p w:rsidR="00DA2D9D" w:rsidRPr="00E64037" w:rsidRDefault="00DA2D9D" w:rsidP="00DA2D9D">
            <w:pPr>
              <w:spacing w:after="0" w:line="240" w:lineRule="auto"/>
              <w:jc w:val="center"/>
              <w:rPr>
                <w:rFonts w:ascii="Arial" w:eastAsia="Times New Roman" w:hAnsi="Arial" w:cs="Arial"/>
                <w:b/>
                <w:bCs/>
                <w:color w:val="FFFFFF"/>
                <w:sz w:val="18"/>
                <w:szCs w:val="18"/>
              </w:rPr>
            </w:pPr>
            <w:r w:rsidRPr="00E64037">
              <w:rPr>
                <w:rFonts w:ascii="Arial" w:eastAsia="Times New Roman" w:hAnsi="Arial" w:cs="Arial"/>
                <w:b/>
                <w:bCs/>
                <w:color w:val="FFFFFF"/>
                <w:sz w:val="18"/>
                <w:szCs w:val="18"/>
              </w:rPr>
              <w:t>2</w:t>
            </w:r>
          </w:p>
        </w:tc>
      </w:tr>
      <w:tr w:rsidR="00DA2D9D" w:rsidRPr="00CB3BD2" w:rsidTr="005E4019">
        <w:trPr>
          <w:trHeight w:val="313"/>
        </w:trPr>
        <w:tc>
          <w:tcPr>
            <w:tcW w:w="0" w:type="auto"/>
            <w:tcBorders>
              <w:top w:val="nil"/>
              <w:left w:val="single" w:sz="4" w:space="0" w:color="auto"/>
              <w:bottom w:val="single" w:sz="4" w:space="0" w:color="auto"/>
              <w:right w:val="nil"/>
            </w:tcBorders>
            <w:shd w:val="clear" w:color="000000" w:fill="FFFFFF"/>
            <w:noWrap/>
            <w:vAlign w:val="bottom"/>
            <w:hideMark/>
          </w:tcPr>
          <w:p w:rsidR="00DA2D9D" w:rsidRPr="00E64037" w:rsidRDefault="00DA2D9D" w:rsidP="00DA2D9D">
            <w:pPr>
              <w:spacing w:after="0" w:line="240" w:lineRule="auto"/>
              <w:rPr>
                <w:rFonts w:ascii="Arial" w:eastAsia="Times New Roman" w:hAnsi="Arial" w:cs="Arial"/>
                <w:color w:val="000000"/>
                <w:sz w:val="18"/>
                <w:szCs w:val="18"/>
              </w:rPr>
            </w:pPr>
            <w:r w:rsidRPr="00E64037">
              <w:rPr>
                <w:rFonts w:ascii="Arial" w:eastAsia="Times New Roman" w:hAnsi="Arial" w:cs="Arial"/>
                <w:color w:val="000000"/>
                <w:sz w:val="18"/>
                <w:szCs w:val="18"/>
              </w:rPr>
              <w:t>Noroeste</w:t>
            </w:r>
          </w:p>
        </w:tc>
        <w:tc>
          <w:tcPr>
            <w:tcW w:w="0" w:type="auto"/>
            <w:tcBorders>
              <w:top w:val="nil"/>
              <w:left w:val="single" w:sz="4" w:space="0" w:color="auto"/>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8</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9</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6</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3</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2</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4</w:t>
            </w:r>
          </w:p>
        </w:tc>
        <w:tc>
          <w:tcPr>
            <w:tcW w:w="0" w:type="auto"/>
            <w:tcBorders>
              <w:top w:val="nil"/>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510" w:type="dxa"/>
            <w:tcBorders>
              <w:top w:val="nil"/>
              <w:left w:val="nil"/>
              <w:bottom w:val="nil"/>
              <w:right w:val="single" w:sz="4" w:space="0" w:color="auto"/>
            </w:tcBorders>
            <w:shd w:val="clear" w:color="000000" w:fill="8EAADC"/>
            <w:noWrap/>
            <w:vAlign w:val="bottom"/>
            <w:hideMark/>
          </w:tcPr>
          <w:p w:rsidR="00DA2D9D" w:rsidRPr="00E64037" w:rsidRDefault="00D26DAD" w:rsidP="00DA2D9D">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5,</w:t>
            </w:r>
            <w:r w:rsidR="00E64037">
              <w:rPr>
                <w:rFonts w:ascii="Arial" w:eastAsia="Times New Roman" w:hAnsi="Arial" w:cs="Arial"/>
                <w:b/>
                <w:bCs/>
                <w:color w:val="FFFFFF"/>
                <w:sz w:val="18"/>
                <w:szCs w:val="18"/>
              </w:rPr>
              <w:t>6</w:t>
            </w:r>
          </w:p>
        </w:tc>
        <w:tc>
          <w:tcPr>
            <w:tcW w:w="832" w:type="dxa"/>
            <w:tcBorders>
              <w:top w:val="nil"/>
              <w:left w:val="nil"/>
              <w:bottom w:val="nil"/>
              <w:right w:val="single" w:sz="4" w:space="0" w:color="auto"/>
            </w:tcBorders>
            <w:shd w:val="clear" w:color="000000" w:fill="8EAADC"/>
            <w:noWrap/>
            <w:vAlign w:val="bottom"/>
            <w:hideMark/>
          </w:tcPr>
          <w:p w:rsidR="00DA2D9D" w:rsidRPr="00E64037" w:rsidRDefault="00DA2D9D" w:rsidP="00DA2D9D">
            <w:pPr>
              <w:spacing w:after="0" w:line="240" w:lineRule="auto"/>
              <w:jc w:val="center"/>
              <w:rPr>
                <w:rFonts w:ascii="Arial" w:eastAsia="Times New Roman" w:hAnsi="Arial" w:cs="Arial"/>
                <w:b/>
                <w:bCs/>
                <w:color w:val="FFFFFF"/>
                <w:sz w:val="18"/>
                <w:szCs w:val="18"/>
              </w:rPr>
            </w:pPr>
            <w:r w:rsidRPr="00E64037">
              <w:rPr>
                <w:rFonts w:ascii="Arial" w:eastAsia="Times New Roman" w:hAnsi="Arial" w:cs="Arial"/>
                <w:b/>
                <w:bCs/>
                <w:color w:val="FFFFFF"/>
                <w:sz w:val="18"/>
                <w:szCs w:val="18"/>
              </w:rPr>
              <w:t>3</w:t>
            </w:r>
          </w:p>
        </w:tc>
      </w:tr>
      <w:tr w:rsidR="00DA2D9D" w:rsidRPr="00CB3BD2" w:rsidTr="005E4019">
        <w:trPr>
          <w:trHeight w:val="313"/>
        </w:trPr>
        <w:tc>
          <w:tcPr>
            <w:tcW w:w="0" w:type="auto"/>
            <w:tcBorders>
              <w:top w:val="nil"/>
              <w:left w:val="single" w:sz="4" w:space="0" w:color="auto"/>
              <w:bottom w:val="single" w:sz="4" w:space="0" w:color="auto"/>
              <w:right w:val="nil"/>
            </w:tcBorders>
            <w:shd w:val="clear" w:color="000000" w:fill="FFFFFF"/>
            <w:noWrap/>
            <w:vAlign w:val="bottom"/>
            <w:hideMark/>
          </w:tcPr>
          <w:p w:rsidR="00DA2D9D" w:rsidRPr="00E64037" w:rsidRDefault="00DA2D9D" w:rsidP="00DA2D9D">
            <w:pPr>
              <w:spacing w:after="0" w:line="240" w:lineRule="auto"/>
              <w:rPr>
                <w:rFonts w:ascii="Arial" w:eastAsia="Times New Roman" w:hAnsi="Arial" w:cs="Arial"/>
                <w:color w:val="000000"/>
                <w:sz w:val="18"/>
                <w:szCs w:val="18"/>
              </w:rPr>
            </w:pPr>
            <w:r w:rsidRPr="00E64037">
              <w:rPr>
                <w:rFonts w:ascii="Arial" w:eastAsia="Times New Roman" w:hAnsi="Arial" w:cs="Arial"/>
                <w:color w:val="000000"/>
                <w:sz w:val="18"/>
                <w:szCs w:val="18"/>
              </w:rPr>
              <w:t>Pampeana</w:t>
            </w:r>
          </w:p>
        </w:tc>
        <w:tc>
          <w:tcPr>
            <w:tcW w:w="0" w:type="auto"/>
            <w:tcBorders>
              <w:top w:val="nil"/>
              <w:left w:val="single" w:sz="4" w:space="0" w:color="auto"/>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9</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6</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4</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0</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6</w:t>
            </w:r>
          </w:p>
        </w:tc>
        <w:tc>
          <w:tcPr>
            <w:tcW w:w="0" w:type="auto"/>
            <w:tcBorders>
              <w:top w:val="nil"/>
              <w:left w:val="nil"/>
              <w:bottom w:val="nil"/>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11</w:t>
            </w:r>
          </w:p>
        </w:tc>
        <w:tc>
          <w:tcPr>
            <w:tcW w:w="0" w:type="auto"/>
            <w:tcBorders>
              <w:top w:val="nil"/>
              <w:left w:val="nil"/>
              <w:bottom w:val="nil"/>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10</w:t>
            </w:r>
          </w:p>
        </w:tc>
        <w:tc>
          <w:tcPr>
            <w:tcW w:w="510" w:type="dxa"/>
            <w:tcBorders>
              <w:top w:val="nil"/>
              <w:left w:val="nil"/>
              <w:bottom w:val="nil"/>
              <w:right w:val="single" w:sz="4" w:space="0" w:color="auto"/>
            </w:tcBorders>
            <w:shd w:val="clear" w:color="000000" w:fill="8EAADC"/>
            <w:noWrap/>
            <w:vAlign w:val="bottom"/>
            <w:hideMark/>
          </w:tcPr>
          <w:p w:rsidR="00DA2D9D" w:rsidRPr="00E64037" w:rsidRDefault="00D26DAD" w:rsidP="00DA2D9D">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6,</w:t>
            </w:r>
            <w:r w:rsidR="00E64037">
              <w:rPr>
                <w:rFonts w:ascii="Arial" w:eastAsia="Times New Roman" w:hAnsi="Arial" w:cs="Arial"/>
                <w:b/>
                <w:bCs/>
                <w:color w:val="FFFFFF"/>
                <w:sz w:val="18"/>
                <w:szCs w:val="18"/>
              </w:rPr>
              <w:t>5</w:t>
            </w:r>
          </w:p>
        </w:tc>
        <w:tc>
          <w:tcPr>
            <w:tcW w:w="832" w:type="dxa"/>
            <w:tcBorders>
              <w:top w:val="nil"/>
              <w:left w:val="nil"/>
              <w:bottom w:val="nil"/>
              <w:right w:val="single" w:sz="4" w:space="0" w:color="auto"/>
            </w:tcBorders>
            <w:shd w:val="clear" w:color="000000" w:fill="8EAADC"/>
            <w:noWrap/>
            <w:vAlign w:val="bottom"/>
            <w:hideMark/>
          </w:tcPr>
          <w:p w:rsidR="00DA2D9D" w:rsidRPr="00E64037" w:rsidRDefault="00DA2D9D" w:rsidP="00DA2D9D">
            <w:pPr>
              <w:spacing w:after="0" w:line="240" w:lineRule="auto"/>
              <w:jc w:val="center"/>
              <w:rPr>
                <w:rFonts w:ascii="Arial" w:eastAsia="Times New Roman" w:hAnsi="Arial" w:cs="Arial"/>
                <w:b/>
                <w:bCs/>
                <w:color w:val="FFFFFF"/>
                <w:sz w:val="18"/>
                <w:szCs w:val="18"/>
              </w:rPr>
            </w:pPr>
            <w:r w:rsidRPr="00E64037">
              <w:rPr>
                <w:rFonts w:ascii="Arial" w:eastAsia="Times New Roman" w:hAnsi="Arial" w:cs="Arial"/>
                <w:b/>
                <w:bCs/>
                <w:color w:val="FFFFFF"/>
                <w:sz w:val="18"/>
                <w:szCs w:val="18"/>
              </w:rPr>
              <w:t>4</w:t>
            </w:r>
          </w:p>
        </w:tc>
      </w:tr>
      <w:tr w:rsidR="00DA2D9D" w:rsidRPr="00CB3BD2" w:rsidTr="005E4019">
        <w:trPr>
          <w:trHeight w:val="250"/>
        </w:trPr>
        <w:tc>
          <w:tcPr>
            <w:tcW w:w="0" w:type="auto"/>
            <w:tcBorders>
              <w:top w:val="nil"/>
              <w:left w:val="single" w:sz="4" w:space="0" w:color="auto"/>
              <w:bottom w:val="single" w:sz="4" w:space="0" w:color="auto"/>
              <w:right w:val="nil"/>
            </w:tcBorders>
            <w:shd w:val="clear" w:color="000000" w:fill="FFFFFF"/>
            <w:noWrap/>
            <w:vAlign w:val="bottom"/>
            <w:hideMark/>
          </w:tcPr>
          <w:p w:rsidR="00DA2D9D" w:rsidRPr="00E64037" w:rsidRDefault="00DA2D9D" w:rsidP="00DA2D9D">
            <w:pPr>
              <w:spacing w:after="0" w:line="240" w:lineRule="auto"/>
              <w:rPr>
                <w:rFonts w:ascii="Arial" w:eastAsia="Times New Roman" w:hAnsi="Arial" w:cs="Arial"/>
                <w:color w:val="000000"/>
                <w:sz w:val="18"/>
                <w:szCs w:val="18"/>
              </w:rPr>
            </w:pPr>
            <w:r w:rsidRPr="00E64037">
              <w:rPr>
                <w:rFonts w:ascii="Arial" w:eastAsia="Times New Roman" w:hAnsi="Arial" w:cs="Arial"/>
                <w:color w:val="000000"/>
                <w:sz w:val="18"/>
                <w:szCs w:val="18"/>
              </w:rPr>
              <w:t>Patagónica</w:t>
            </w:r>
          </w:p>
        </w:tc>
        <w:tc>
          <w:tcPr>
            <w:tcW w:w="0" w:type="auto"/>
            <w:tcBorders>
              <w:top w:val="nil"/>
              <w:left w:val="single" w:sz="4" w:space="0" w:color="auto"/>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9</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10</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4</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10</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10</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9</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4</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5</w:t>
            </w:r>
          </w:p>
        </w:tc>
        <w:tc>
          <w:tcPr>
            <w:tcW w:w="0" w:type="auto"/>
            <w:tcBorders>
              <w:top w:val="nil"/>
              <w:left w:val="nil"/>
              <w:bottom w:val="single" w:sz="4" w:space="0" w:color="auto"/>
              <w:right w:val="nil"/>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0" w:type="auto"/>
            <w:tcBorders>
              <w:top w:val="nil"/>
              <w:left w:val="nil"/>
              <w:bottom w:val="single" w:sz="4" w:space="0" w:color="auto"/>
              <w:right w:val="single" w:sz="4" w:space="0" w:color="auto"/>
            </w:tcBorders>
            <w:shd w:val="clear" w:color="000000" w:fill="FFFFFF"/>
            <w:noWrap/>
            <w:vAlign w:val="bottom"/>
            <w:hideMark/>
          </w:tcPr>
          <w:p w:rsidR="00DA2D9D" w:rsidRPr="00E64037" w:rsidRDefault="00DA2D9D" w:rsidP="00DA2D9D">
            <w:pPr>
              <w:spacing w:after="0" w:line="240" w:lineRule="auto"/>
              <w:jc w:val="center"/>
              <w:rPr>
                <w:rFonts w:ascii="Arial" w:eastAsia="Times New Roman" w:hAnsi="Arial" w:cs="Arial"/>
                <w:color w:val="000000"/>
                <w:sz w:val="18"/>
                <w:szCs w:val="18"/>
              </w:rPr>
            </w:pPr>
            <w:r w:rsidRPr="00E64037">
              <w:rPr>
                <w:rFonts w:ascii="Arial" w:eastAsia="Times New Roman" w:hAnsi="Arial" w:cs="Arial"/>
                <w:color w:val="000000"/>
                <w:sz w:val="18"/>
                <w:szCs w:val="18"/>
              </w:rPr>
              <w:t>7</w:t>
            </w:r>
          </w:p>
        </w:tc>
        <w:tc>
          <w:tcPr>
            <w:tcW w:w="510" w:type="dxa"/>
            <w:tcBorders>
              <w:top w:val="nil"/>
              <w:left w:val="nil"/>
              <w:bottom w:val="single" w:sz="4" w:space="0" w:color="auto"/>
              <w:right w:val="single" w:sz="4" w:space="0" w:color="auto"/>
            </w:tcBorders>
            <w:shd w:val="clear" w:color="000000" w:fill="8EAADC"/>
            <w:noWrap/>
            <w:vAlign w:val="bottom"/>
            <w:hideMark/>
          </w:tcPr>
          <w:p w:rsidR="00DA2D9D" w:rsidRPr="00E64037" w:rsidRDefault="00D26DAD" w:rsidP="00DA2D9D">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7,</w:t>
            </w:r>
            <w:r w:rsidR="00E64037">
              <w:rPr>
                <w:rFonts w:ascii="Arial" w:eastAsia="Times New Roman" w:hAnsi="Arial" w:cs="Arial"/>
                <w:b/>
                <w:bCs/>
                <w:color w:val="FFFFFF"/>
                <w:sz w:val="18"/>
                <w:szCs w:val="18"/>
              </w:rPr>
              <w:t>4</w:t>
            </w:r>
          </w:p>
        </w:tc>
        <w:tc>
          <w:tcPr>
            <w:tcW w:w="832" w:type="dxa"/>
            <w:tcBorders>
              <w:top w:val="nil"/>
              <w:left w:val="nil"/>
              <w:bottom w:val="single" w:sz="4" w:space="0" w:color="auto"/>
              <w:right w:val="single" w:sz="4" w:space="0" w:color="auto"/>
            </w:tcBorders>
            <w:shd w:val="clear" w:color="000000" w:fill="8EAADC"/>
            <w:noWrap/>
            <w:vAlign w:val="bottom"/>
            <w:hideMark/>
          </w:tcPr>
          <w:p w:rsidR="00DA2D9D" w:rsidRPr="00E64037" w:rsidRDefault="00DA2D9D" w:rsidP="00DA2D9D">
            <w:pPr>
              <w:spacing w:after="0" w:line="240" w:lineRule="auto"/>
              <w:jc w:val="center"/>
              <w:rPr>
                <w:rFonts w:ascii="Arial" w:eastAsia="Times New Roman" w:hAnsi="Arial" w:cs="Arial"/>
                <w:b/>
                <w:bCs/>
                <w:color w:val="FFFFFF"/>
                <w:sz w:val="18"/>
                <w:szCs w:val="18"/>
              </w:rPr>
            </w:pPr>
            <w:r w:rsidRPr="00E64037">
              <w:rPr>
                <w:rFonts w:ascii="Arial" w:eastAsia="Times New Roman" w:hAnsi="Arial" w:cs="Arial"/>
                <w:b/>
                <w:bCs/>
                <w:color w:val="FFFFFF"/>
                <w:sz w:val="18"/>
                <w:szCs w:val="18"/>
              </w:rPr>
              <w:t>5</w:t>
            </w:r>
          </w:p>
        </w:tc>
      </w:tr>
    </w:tbl>
    <w:p w:rsidR="009A4D0B" w:rsidRDefault="009A4D0B" w:rsidP="00EE4B50">
      <w:pPr>
        <w:spacing w:after="0" w:line="480" w:lineRule="auto"/>
        <w:jc w:val="both"/>
        <w:rPr>
          <w:rFonts w:ascii="Times New Roman" w:hAnsi="Times New Roman" w:cs="Times New Roman"/>
          <w:b/>
          <w:color w:val="E36C0A" w:themeColor="accent6" w:themeShade="BF"/>
          <w:sz w:val="24"/>
          <w:szCs w:val="24"/>
        </w:rPr>
      </w:pPr>
    </w:p>
    <w:p w:rsidR="009A4D0B" w:rsidRPr="00CB3BD2" w:rsidRDefault="009A4D0B" w:rsidP="00F10239">
      <w:pPr>
        <w:pStyle w:val="Epgrafe"/>
        <w:keepNext/>
        <w:jc w:val="center"/>
        <w:rPr>
          <w:rFonts w:ascii="Arial" w:hAnsi="Arial" w:cs="Arial"/>
          <w:b/>
          <w:i w:val="0"/>
          <w:sz w:val="22"/>
          <w:szCs w:val="22"/>
        </w:rPr>
      </w:pPr>
      <w:r w:rsidRPr="00CB3BD2">
        <w:rPr>
          <w:rFonts w:ascii="Arial" w:hAnsi="Arial" w:cs="Arial"/>
          <w:b/>
          <w:i w:val="0"/>
          <w:color w:val="auto"/>
          <w:sz w:val="22"/>
          <w:szCs w:val="22"/>
        </w:rPr>
        <w:t xml:space="preserve">Tabla </w:t>
      </w:r>
      <w:r w:rsidR="00E17F18" w:rsidRPr="00CB3BD2">
        <w:rPr>
          <w:rFonts w:ascii="Arial" w:hAnsi="Arial" w:cs="Arial"/>
          <w:b/>
          <w:i w:val="0"/>
          <w:color w:val="auto"/>
          <w:sz w:val="22"/>
          <w:szCs w:val="22"/>
        </w:rPr>
        <w:fldChar w:fldCharType="begin"/>
      </w:r>
      <w:r w:rsidR="00A13B3B" w:rsidRPr="00CB3BD2">
        <w:rPr>
          <w:rFonts w:ascii="Arial" w:hAnsi="Arial" w:cs="Arial"/>
          <w:b/>
          <w:i w:val="0"/>
          <w:color w:val="auto"/>
          <w:sz w:val="22"/>
          <w:szCs w:val="22"/>
        </w:rPr>
        <w:instrText xml:space="preserve"> SEQ Tabla \* ARABIC </w:instrText>
      </w:r>
      <w:r w:rsidR="00E17F18" w:rsidRPr="00CB3BD2">
        <w:rPr>
          <w:rFonts w:ascii="Arial" w:hAnsi="Arial" w:cs="Arial"/>
          <w:b/>
          <w:i w:val="0"/>
          <w:color w:val="auto"/>
          <w:sz w:val="22"/>
          <w:szCs w:val="22"/>
        </w:rPr>
        <w:fldChar w:fldCharType="separate"/>
      </w:r>
      <w:r w:rsidR="0084386F">
        <w:rPr>
          <w:rFonts w:ascii="Arial" w:hAnsi="Arial" w:cs="Arial"/>
          <w:b/>
          <w:i w:val="0"/>
          <w:noProof/>
          <w:color w:val="auto"/>
          <w:sz w:val="22"/>
          <w:szCs w:val="22"/>
        </w:rPr>
        <w:t>11</w:t>
      </w:r>
      <w:r w:rsidR="00E17F18" w:rsidRPr="00CB3BD2">
        <w:rPr>
          <w:rFonts w:ascii="Arial" w:hAnsi="Arial" w:cs="Arial"/>
          <w:b/>
          <w:i w:val="0"/>
          <w:color w:val="auto"/>
          <w:sz w:val="22"/>
          <w:szCs w:val="22"/>
        </w:rPr>
        <w:fldChar w:fldCharType="end"/>
      </w:r>
      <w:r w:rsidRPr="00CB3BD2">
        <w:rPr>
          <w:rFonts w:ascii="Arial" w:hAnsi="Arial" w:cs="Arial"/>
          <w:b/>
          <w:i w:val="0"/>
          <w:color w:val="auto"/>
          <w:sz w:val="22"/>
          <w:szCs w:val="22"/>
        </w:rPr>
        <w:t>: Puntaje obtenido por indicador, Índice de Fortaleza F</w:t>
      </w:r>
      <w:r w:rsidR="00F10239" w:rsidRPr="00CB3BD2">
        <w:rPr>
          <w:rFonts w:ascii="Arial" w:hAnsi="Arial" w:cs="Arial"/>
          <w:b/>
          <w:i w:val="0"/>
          <w:color w:val="auto"/>
          <w:sz w:val="22"/>
          <w:szCs w:val="22"/>
        </w:rPr>
        <w:t xml:space="preserve">iscal y ranking por provincia </w:t>
      </w:r>
      <w:r w:rsidRPr="00CB3BD2">
        <w:rPr>
          <w:rFonts w:ascii="Arial" w:hAnsi="Arial" w:cs="Arial"/>
          <w:i w:val="0"/>
          <w:color w:val="auto"/>
          <w:sz w:val="22"/>
          <w:szCs w:val="22"/>
        </w:rPr>
        <w:t>Versión estandarizada</w:t>
      </w:r>
    </w:p>
    <w:tbl>
      <w:tblPr>
        <w:tblW w:w="11580" w:type="dxa"/>
        <w:jc w:val="center"/>
        <w:tblCellMar>
          <w:left w:w="70" w:type="dxa"/>
          <w:right w:w="70" w:type="dxa"/>
        </w:tblCellMar>
        <w:tblLook w:val="04A0" w:firstRow="1" w:lastRow="0" w:firstColumn="1" w:lastColumn="0" w:noHBand="0" w:noVBand="1"/>
      </w:tblPr>
      <w:tblGrid>
        <w:gridCol w:w="1890"/>
        <w:gridCol w:w="685"/>
        <w:gridCol w:w="990"/>
        <w:gridCol w:w="945"/>
        <w:gridCol w:w="848"/>
        <w:gridCol w:w="685"/>
        <w:gridCol w:w="870"/>
        <w:gridCol w:w="957"/>
        <w:gridCol w:w="827"/>
        <w:gridCol w:w="653"/>
        <w:gridCol w:w="653"/>
        <w:gridCol w:w="653"/>
        <w:gridCol w:w="924"/>
      </w:tblGrid>
      <w:tr w:rsidR="00D26DAD" w:rsidRPr="00D26DAD" w:rsidTr="001B4AEF">
        <w:trPr>
          <w:trHeight w:val="315"/>
          <w:jc w:val="center"/>
        </w:trPr>
        <w:tc>
          <w:tcPr>
            <w:tcW w:w="1740"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lang w:val="es-AR" w:eastAsia="es-AR"/>
              </w:rPr>
            </w:pPr>
            <w:r w:rsidRPr="00D26DAD">
              <w:rPr>
                <w:rFonts w:ascii="Arial" w:eastAsia="Times New Roman" w:hAnsi="Arial" w:cs="Arial"/>
                <w:b/>
                <w:bCs/>
                <w:color w:val="000000"/>
                <w:lang w:val="es-AR" w:eastAsia="es-AR"/>
              </w:rPr>
              <w:t> </w:t>
            </w:r>
          </w:p>
        </w:tc>
        <w:tc>
          <w:tcPr>
            <w:tcW w:w="60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PERS</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RESCOR</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TRANSF</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DEUDA</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SERV</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RESFIN</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TRANSP</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SERVD</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IIBB</w:t>
            </w:r>
          </w:p>
        </w:tc>
        <w:tc>
          <w:tcPr>
            <w:tcW w:w="601" w:type="dxa"/>
            <w:tcBorders>
              <w:top w:val="single" w:sz="8" w:space="0" w:color="auto"/>
              <w:left w:val="nil"/>
              <w:bottom w:val="single" w:sz="8" w:space="0" w:color="auto"/>
              <w:right w:val="single" w:sz="8" w:space="0" w:color="auto"/>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b/>
                <w:bCs/>
                <w:color w:val="000000"/>
                <w:sz w:val="18"/>
                <w:szCs w:val="18"/>
                <w:lang w:val="es-AR" w:eastAsia="es-AR"/>
              </w:rPr>
            </w:pPr>
            <w:r w:rsidRPr="00D26DAD">
              <w:rPr>
                <w:rFonts w:ascii="Arial" w:eastAsia="Times New Roman" w:hAnsi="Arial" w:cs="Arial"/>
                <w:b/>
                <w:bCs/>
                <w:color w:val="000000"/>
                <w:sz w:val="18"/>
                <w:szCs w:val="18"/>
                <w:lang w:val="es-AR" w:eastAsia="es-AR"/>
              </w:rPr>
              <w:t>PT</w:t>
            </w:r>
          </w:p>
        </w:tc>
        <w:tc>
          <w:tcPr>
            <w:tcW w:w="601" w:type="dxa"/>
            <w:tcBorders>
              <w:top w:val="single" w:sz="8" w:space="0" w:color="auto"/>
              <w:left w:val="nil"/>
              <w:bottom w:val="single" w:sz="8" w:space="0" w:color="auto"/>
              <w:right w:val="single" w:sz="8" w:space="0" w:color="auto"/>
            </w:tcBorders>
            <w:shd w:val="clear" w:color="000000" w:fill="002060"/>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IFF</w:t>
            </w:r>
          </w:p>
        </w:tc>
        <w:tc>
          <w:tcPr>
            <w:tcW w:w="799" w:type="dxa"/>
            <w:tcBorders>
              <w:top w:val="single" w:sz="8" w:space="0" w:color="auto"/>
              <w:left w:val="nil"/>
              <w:bottom w:val="single" w:sz="8" w:space="0" w:color="auto"/>
              <w:right w:val="single" w:sz="8" w:space="0" w:color="auto"/>
            </w:tcBorders>
            <w:shd w:val="clear" w:color="000000" w:fill="002060"/>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Ranking</w:t>
            </w:r>
          </w:p>
        </w:tc>
      </w:tr>
      <w:tr w:rsidR="00D26DAD" w:rsidRPr="00D26DAD" w:rsidTr="001B4AEF">
        <w:trPr>
          <w:trHeight w:val="315"/>
          <w:jc w:val="center"/>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Catamarca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-0,8</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San Juan</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-0,8</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2</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Santiago del Estero</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-0,7</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3</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San Luis</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-0,6</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4</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Corrientes</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-0,5</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5</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Formosa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-0,5</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6</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Santa Fe</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-0,4</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7</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Chaco</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-0,1</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8</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Córdoba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1,7</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-0,1</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9</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Tucumán</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0,0</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10</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Entre Ríos</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0,0</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11</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La Pampa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2,0</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0,0</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12</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Tierra del Fuego</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0,1</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13</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Misiones</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0,2</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14</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Santa Cruz</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0,2</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15</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Río Negro</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0,3</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16</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Neuquén</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0,3</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17</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CABA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3,8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1,4</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0,3</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18</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Mendoza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0,4</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19</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La Rioja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0,4</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20</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Salta</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0,4</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21</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Jujuy</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1,5</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-0,2</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-0,1</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0,4</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22</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Buenos Aires</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-0,6</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1,4</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1,3</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-0,7</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0,8</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nil"/>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1,6</w:t>
            </w:r>
          </w:p>
        </w:tc>
        <w:tc>
          <w:tcPr>
            <w:tcW w:w="601"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0,5</w:t>
            </w:r>
          </w:p>
        </w:tc>
        <w:tc>
          <w:tcPr>
            <w:tcW w:w="799" w:type="dxa"/>
            <w:tcBorders>
              <w:top w:val="nil"/>
              <w:left w:val="nil"/>
              <w:bottom w:val="nil"/>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23</w:t>
            </w:r>
          </w:p>
        </w:tc>
      </w:tr>
      <w:tr w:rsidR="00D26DAD" w:rsidRPr="00D26DAD" w:rsidTr="001B4AEF">
        <w:trPr>
          <w:trHeight w:val="315"/>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26DAD" w:rsidRPr="00D26DAD" w:rsidRDefault="00D26DAD" w:rsidP="00D26DAD">
            <w:pPr>
              <w:spacing w:after="0" w:line="240" w:lineRule="auto"/>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Chubut</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1,0</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0,9</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2,0</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2,7</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2,3</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1,2</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0,3</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0,0</w:t>
            </w:r>
          </w:p>
        </w:tc>
        <w:tc>
          <w:tcPr>
            <w:tcW w:w="601" w:type="dxa"/>
            <w:tcBorders>
              <w:top w:val="nil"/>
              <w:left w:val="nil"/>
              <w:bottom w:val="single" w:sz="8" w:space="0" w:color="auto"/>
              <w:right w:val="nil"/>
            </w:tcBorders>
            <w:shd w:val="clear" w:color="000000" w:fill="FFFFFF"/>
            <w:noWrap/>
            <w:vAlign w:val="center"/>
            <w:hideMark/>
          </w:tcPr>
          <w:p w:rsidR="00D26DAD" w:rsidRPr="00D26DAD" w:rsidRDefault="00D26DAD" w:rsidP="00D26DAD">
            <w:pPr>
              <w:spacing w:after="0" w:line="240" w:lineRule="auto"/>
              <w:jc w:val="center"/>
              <w:rPr>
                <w:rFonts w:ascii="Arial" w:eastAsia="Times New Roman" w:hAnsi="Arial" w:cs="Arial"/>
                <w:color w:val="000000"/>
                <w:sz w:val="18"/>
                <w:szCs w:val="18"/>
                <w:lang w:val="es-AR" w:eastAsia="es-AR"/>
              </w:rPr>
            </w:pPr>
            <w:r w:rsidRPr="00D26DAD">
              <w:rPr>
                <w:rFonts w:ascii="Arial" w:eastAsia="Times New Roman" w:hAnsi="Arial" w:cs="Arial"/>
                <w:color w:val="000000"/>
                <w:sz w:val="18"/>
                <w:szCs w:val="18"/>
                <w:lang w:val="es-AR" w:eastAsia="es-AR"/>
              </w:rPr>
              <w:t>-0,5</w:t>
            </w:r>
          </w:p>
        </w:tc>
        <w:tc>
          <w:tcPr>
            <w:tcW w:w="601" w:type="dxa"/>
            <w:tcBorders>
              <w:top w:val="nil"/>
              <w:left w:val="nil"/>
              <w:bottom w:val="single" w:sz="8" w:space="0" w:color="auto"/>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0,9</w:t>
            </w:r>
          </w:p>
        </w:tc>
        <w:tc>
          <w:tcPr>
            <w:tcW w:w="799" w:type="dxa"/>
            <w:tcBorders>
              <w:top w:val="nil"/>
              <w:left w:val="nil"/>
              <w:bottom w:val="single" w:sz="8" w:space="0" w:color="auto"/>
              <w:right w:val="single" w:sz="8" w:space="0" w:color="auto"/>
            </w:tcBorders>
            <w:shd w:val="clear" w:color="000000" w:fill="8EA9DB"/>
            <w:noWrap/>
            <w:vAlign w:val="center"/>
            <w:hideMark/>
          </w:tcPr>
          <w:p w:rsidR="00D26DAD" w:rsidRPr="00D26DAD" w:rsidRDefault="00D26DAD" w:rsidP="00D26DAD">
            <w:pPr>
              <w:spacing w:after="0" w:line="240" w:lineRule="auto"/>
              <w:jc w:val="center"/>
              <w:rPr>
                <w:rFonts w:ascii="Arial" w:eastAsia="Times New Roman" w:hAnsi="Arial" w:cs="Arial"/>
                <w:b/>
                <w:bCs/>
                <w:color w:val="FFFFFF"/>
                <w:sz w:val="18"/>
                <w:szCs w:val="18"/>
                <w:lang w:val="es-AR" w:eastAsia="es-AR"/>
              </w:rPr>
            </w:pPr>
            <w:r w:rsidRPr="00D26DAD">
              <w:rPr>
                <w:rFonts w:ascii="Arial" w:eastAsia="Times New Roman" w:hAnsi="Arial" w:cs="Arial"/>
                <w:b/>
                <w:bCs/>
                <w:color w:val="FFFFFF"/>
                <w:sz w:val="18"/>
                <w:szCs w:val="18"/>
                <w:lang w:val="es-AR" w:eastAsia="es-AR"/>
              </w:rPr>
              <w:t>24</w:t>
            </w:r>
          </w:p>
        </w:tc>
      </w:tr>
    </w:tbl>
    <w:p w:rsidR="009A4D0B" w:rsidRDefault="009A4D0B" w:rsidP="00EE4B50">
      <w:pPr>
        <w:spacing w:after="0" w:line="480" w:lineRule="auto"/>
        <w:jc w:val="both"/>
        <w:rPr>
          <w:rFonts w:ascii="Times New Roman" w:hAnsi="Times New Roman" w:cs="Times New Roman"/>
          <w:b/>
          <w:color w:val="E36C0A" w:themeColor="accent6" w:themeShade="BF"/>
          <w:sz w:val="24"/>
          <w:szCs w:val="24"/>
        </w:rPr>
      </w:pPr>
    </w:p>
    <w:p w:rsidR="009F65A6" w:rsidRDefault="009A4D0B" w:rsidP="00CB3BD2">
      <w:pPr>
        <w:spacing w:after="0" w:line="360" w:lineRule="auto"/>
        <w:jc w:val="both"/>
        <w:rPr>
          <w:rFonts w:ascii="Arial" w:hAnsi="Arial" w:cs="Arial"/>
          <w:color w:val="000000" w:themeColor="text1"/>
        </w:rPr>
      </w:pPr>
      <w:r w:rsidRPr="00CB3BD2">
        <w:rPr>
          <w:rFonts w:ascii="Arial" w:hAnsi="Arial" w:cs="Arial"/>
          <w:color w:val="000000" w:themeColor="text1"/>
        </w:rPr>
        <w:t xml:space="preserve">Más allá de algunos ligeros cambios en el ordenamiento en el ranking, se aprecia que los resultados al utilizar la alternativa estandarizada son muy similares a los de la original. </w:t>
      </w:r>
      <w:r w:rsidR="000467AA" w:rsidRPr="00CB3BD2">
        <w:rPr>
          <w:rFonts w:ascii="Arial" w:hAnsi="Arial" w:cs="Arial"/>
          <w:color w:val="000000" w:themeColor="text1"/>
        </w:rPr>
        <w:t>Vale aclarar que l</w:t>
      </w:r>
      <w:r w:rsidR="008A59EC" w:rsidRPr="00CB3BD2">
        <w:rPr>
          <w:rFonts w:ascii="Arial" w:hAnsi="Arial" w:cs="Arial"/>
          <w:color w:val="000000" w:themeColor="text1"/>
        </w:rPr>
        <w:t xml:space="preserve">a estabilidad del índice ante diferentes opciones de ponderación no resulta una cuestión trivial. Una propiedad deseable en el indicador está dada, precisamente, por la robustez. En este sentido, se utilizó el procedimiento usual de la Simulación de Montecarlo para generar 10.000 ponderadores aleatorios y se computó el IFF para </w:t>
      </w:r>
      <w:r w:rsidR="005A3EF1" w:rsidRPr="00CB3BD2">
        <w:rPr>
          <w:rFonts w:ascii="Arial" w:hAnsi="Arial" w:cs="Arial"/>
          <w:color w:val="000000" w:themeColor="text1"/>
        </w:rPr>
        <w:t xml:space="preserve">cada combinación de los mismos. </w:t>
      </w:r>
      <w:r w:rsidR="008A59EC" w:rsidRPr="00CB3BD2">
        <w:rPr>
          <w:rFonts w:ascii="Arial" w:hAnsi="Arial" w:cs="Arial"/>
          <w:color w:val="000000" w:themeColor="text1"/>
        </w:rPr>
        <w:t xml:space="preserve"> Los resultados obtenidos son satisfactorios en la medida en que la distribución empírica para cada provincia se ajusta generalmente a una normal estándar</w:t>
      </w:r>
      <w:r w:rsidR="00795F5F" w:rsidRPr="00CB3BD2">
        <w:rPr>
          <w:rFonts w:ascii="Arial" w:hAnsi="Arial" w:cs="Arial"/>
          <w:color w:val="000000" w:themeColor="text1"/>
        </w:rPr>
        <w:t>,</w:t>
      </w:r>
      <w:r w:rsidR="008A59EC" w:rsidRPr="00CB3BD2">
        <w:rPr>
          <w:rFonts w:ascii="Arial" w:hAnsi="Arial" w:cs="Arial"/>
          <w:color w:val="000000" w:themeColor="text1"/>
        </w:rPr>
        <w:t xml:space="preserve"> en la que las medidas de tendencia central resultan análogas a los índices computados con la ponderación elegida. </w:t>
      </w:r>
      <w:r w:rsidR="00702832" w:rsidRPr="00CB3BD2">
        <w:rPr>
          <w:rFonts w:ascii="Arial" w:hAnsi="Arial" w:cs="Arial"/>
          <w:color w:val="000000" w:themeColor="text1"/>
        </w:rPr>
        <w:t>Estos resultados se detallan en el Anexo.</w:t>
      </w:r>
    </w:p>
    <w:p w:rsidR="009F65A6" w:rsidRPr="00CB3BD2" w:rsidRDefault="009F65A6" w:rsidP="00CB3BD2">
      <w:pPr>
        <w:spacing w:after="0" w:line="360" w:lineRule="auto"/>
        <w:jc w:val="both"/>
        <w:rPr>
          <w:rFonts w:ascii="Arial" w:hAnsi="Arial" w:cs="Arial"/>
          <w:color w:val="000000" w:themeColor="text1"/>
        </w:rPr>
      </w:pPr>
    </w:p>
    <w:p w:rsidR="00697D09" w:rsidRDefault="00697D09" w:rsidP="009F65A6">
      <w:pPr>
        <w:pStyle w:val="Ttulo1"/>
        <w:numPr>
          <w:ilvl w:val="0"/>
          <w:numId w:val="12"/>
        </w:numPr>
        <w:rPr>
          <w:rFonts w:ascii="Arial" w:hAnsi="Arial" w:cs="Arial"/>
          <w:b/>
          <w:color w:val="auto"/>
          <w:sz w:val="22"/>
          <w:szCs w:val="22"/>
        </w:rPr>
      </w:pPr>
      <w:r w:rsidRPr="00CB3BD2">
        <w:rPr>
          <w:rFonts w:ascii="Arial" w:hAnsi="Arial" w:cs="Arial"/>
          <w:b/>
          <w:color w:val="auto"/>
          <w:sz w:val="22"/>
          <w:szCs w:val="22"/>
        </w:rPr>
        <w:t>Conclusiones y futuras líneas de trabajo</w:t>
      </w:r>
    </w:p>
    <w:p w:rsidR="009F65A6" w:rsidRPr="009F65A6" w:rsidRDefault="009F65A6" w:rsidP="009F65A6"/>
    <w:p w:rsidR="00237E19" w:rsidRDefault="007B7438" w:rsidP="00CB3BD2">
      <w:pPr>
        <w:spacing w:after="0" w:line="360" w:lineRule="auto"/>
        <w:jc w:val="both"/>
        <w:rPr>
          <w:rFonts w:ascii="Arial" w:hAnsi="Arial" w:cs="Arial"/>
        </w:rPr>
      </w:pPr>
      <w:r w:rsidRPr="00CB3BD2">
        <w:rPr>
          <w:rFonts w:ascii="Arial" w:hAnsi="Arial" w:cs="Arial"/>
        </w:rPr>
        <w:t>El presente trabajo presenta una propuesta para la medición de</w:t>
      </w:r>
      <w:r w:rsidR="00370A69" w:rsidRPr="00CB3BD2">
        <w:rPr>
          <w:rFonts w:ascii="Arial" w:hAnsi="Arial" w:cs="Arial"/>
        </w:rPr>
        <w:t xml:space="preserve"> la</w:t>
      </w:r>
      <w:r w:rsidRPr="00CB3BD2">
        <w:rPr>
          <w:rFonts w:ascii="Arial" w:hAnsi="Arial" w:cs="Arial"/>
        </w:rPr>
        <w:t xml:space="preserve"> fortaleza fiscal de los gobiernos </w:t>
      </w:r>
      <w:r w:rsidR="00370A69" w:rsidRPr="00CB3BD2">
        <w:rPr>
          <w:rFonts w:ascii="Arial" w:hAnsi="Arial" w:cs="Arial"/>
        </w:rPr>
        <w:t xml:space="preserve">de nivel intermedio en Argentina, en base a </w:t>
      </w:r>
      <w:r w:rsidRPr="00CB3BD2">
        <w:rPr>
          <w:rFonts w:ascii="Arial" w:hAnsi="Arial" w:cs="Arial"/>
        </w:rPr>
        <w:t xml:space="preserve">diez indicadores </w:t>
      </w:r>
      <w:r w:rsidR="00370A69" w:rsidRPr="00CB3BD2">
        <w:rPr>
          <w:rFonts w:ascii="Arial" w:hAnsi="Arial" w:cs="Arial"/>
        </w:rPr>
        <w:t>fiscales individuales.</w:t>
      </w:r>
      <w:r w:rsidRPr="00CB3BD2">
        <w:rPr>
          <w:rFonts w:ascii="Arial" w:hAnsi="Arial" w:cs="Arial"/>
        </w:rPr>
        <w:t xml:space="preserve"> A partir de las recomendaciones de la OECD (2008) para la construcción de índices compuestos, se implementó la metodología de Análisis de Componentes Principales para ponderar las variables seleccionadas y </w:t>
      </w:r>
      <w:r w:rsidR="00370A69" w:rsidRPr="00CB3BD2">
        <w:rPr>
          <w:rFonts w:ascii="Arial" w:hAnsi="Arial" w:cs="Arial"/>
        </w:rPr>
        <w:t xml:space="preserve">se realizó </w:t>
      </w:r>
      <w:r w:rsidRPr="00CB3BD2">
        <w:rPr>
          <w:rFonts w:ascii="Arial" w:hAnsi="Arial" w:cs="Arial"/>
        </w:rPr>
        <w:t>una Simulación de Montecarlo para poner a prueba la estabilidad de los resultados obtenidos. El puntaje asignado a cada jurisdicción resulta robusto ante diferentes ponderaciones de los indicadores</w:t>
      </w:r>
      <w:r w:rsidR="00370A69" w:rsidRPr="00CB3BD2">
        <w:rPr>
          <w:rFonts w:ascii="Arial" w:hAnsi="Arial" w:cs="Arial"/>
        </w:rPr>
        <w:t>,</w:t>
      </w:r>
      <w:r w:rsidRPr="00CB3BD2">
        <w:rPr>
          <w:rFonts w:ascii="Arial" w:hAnsi="Arial" w:cs="Arial"/>
        </w:rPr>
        <w:t xml:space="preserve"> a diferencia del ordenamiento jerárquico de las mismas. De todas formas, resulta factible ubicar de manera permanente a las provincias de Catamarca, Corrientes, San Juan, San Luis y Santiago del Estero entre las de mayor fortaleza fiscal</w:t>
      </w:r>
      <w:r w:rsidR="00370A69" w:rsidRPr="00CB3BD2">
        <w:rPr>
          <w:rFonts w:ascii="Arial" w:hAnsi="Arial" w:cs="Arial"/>
        </w:rPr>
        <w:t xml:space="preserve">, </w:t>
      </w:r>
      <w:r w:rsidRPr="00CB3BD2">
        <w:rPr>
          <w:rFonts w:ascii="Arial" w:hAnsi="Arial" w:cs="Arial"/>
        </w:rPr>
        <w:t xml:space="preserve">en contraste con las jurisdicciones de </w:t>
      </w:r>
      <w:r w:rsidR="007D6C0C" w:rsidRPr="00CB3BD2">
        <w:rPr>
          <w:rFonts w:ascii="Arial" w:hAnsi="Arial" w:cs="Arial"/>
        </w:rPr>
        <w:t>Buenos Aires, Chubut, Jujuy, La Rioja y Salta</w:t>
      </w:r>
      <w:r w:rsidR="00370A69" w:rsidRPr="00CB3BD2">
        <w:rPr>
          <w:rFonts w:ascii="Arial" w:hAnsi="Arial" w:cs="Arial"/>
        </w:rPr>
        <w:t>,</w:t>
      </w:r>
      <w:r w:rsidR="007D6C0C" w:rsidRPr="00CB3BD2">
        <w:rPr>
          <w:rFonts w:ascii="Arial" w:hAnsi="Arial" w:cs="Arial"/>
        </w:rPr>
        <w:t xml:space="preserve"> que </w:t>
      </w:r>
      <w:r w:rsidR="00370A69" w:rsidRPr="00CB3BD2">
        <w:rPr>
          <w:rFonts w:ascii="Arial" w:hAnsi="Arial" w:cs="Arial"/>
        </w:rPr>
        <w:t xml:space="preserve">aparecen como las </w:t>
      </w:r>
      <w:r w:rsidR="007D6C0C" w:rsidRPr="00CB3BD2">
        <w:rPr>
          <w:rFonts w:ascii="Arial" w:hAnsi="Arial" w:cs="Arial"/>
        </w:rPr>
        <w:t>meno</w:t>
      </w:r>
      <w:r w:rsidR="00370A69" w:rsidRPr="00CB3BD2">
        <w:rPr>
          <w:rFonts w:ascii="Arial" w:hAnsi="Arial" w:cs="Arial"/>
        </w:rPr>
        <w:t>s</w:t>
      </w:r>
      <w:r w:rsidR="007D6C0C" w:rsidRPr="00CB3BD2">
        <w:rPr>
          <w:rFonts w:ascii="Arial" w:hAnsi="Arial" w:cs="Arial"/>
        </w:rPr>
        <w:t xml:space="preserve"> solid</w:t>
      </w:r>
      <w:r w:rsidR="00370A69" w:rsidRPr="00CB3BD2">
        <w:rPr>
          <w:rFonts w:ascii="Arial" w:hAnsi="Arial" w:cs="Arial"/>
        </w:rPr>
        <w:t>as</w:t>
      </w:r>
      <w:r w:rsidR="007D6C0C" w:rsidRPr="00CB3BD2">
        <w:rPr>
          <w:rFonts w:ascii="Arial" w:hAnsi="Arial" w:cs="Arial"/>
        </w:rPr>
        <w:t xml:space="preserve"> en sus cuentas públicas</w:t>
      </w:r>
      <w:r w:rsidR="00370A69" w:rsidRPr="00CB3BD2">
        <w:rPr>
          <w:rFonts w:ascii="Arial" w:hAnsi="Arial" w:cs="Arial"/>
        </w:rPr>
        <w:t xml:space="preserve"> en el año 2017</w:t>
      </w:r>
      <w:r w:rsidR="007D6C0C" w:rsidRPr="00CB3BD2">
        <w:rPr>
          <w:rFonts w:ascii="Arial" w:hAnsi="Arial" w:cs="Arial"/>
        </w:rPr>
        <w:t xml:space="preserve">. </w:t>
      </w:r>
      <w:r w:rsidR="00B50EA9" w:rsidRPr="00CB3BD2">
        <w:rPr>
          <w:rFonts w:ascii="Arial" w:hAnsi="Arial" w:cs="Arial"/>
        </w:rPr>
        <w:t xml:space="preserve">A nivel regional, estos resultados se ven reflejados en </w:t>
      </w:r>
      <w:r w:rsidR="00370A69" w:rsidRPr="00CB3BD2">
        <w:rPr>
          <w:rFonts w:ascii="Arial" w:hAnsi="Arial" w:cs="Arial"/>
        </w:rPr>
        <w:t>la</w:t>
      </w:r>
      <w:r w:rsidR="00B50EA9" w:rsidRPr="00CB3BD2">
        <w:rPr>
          <w:rFonts w:ascii="Arial" w:hAnsi="Arial" w:cs="Arial"/>
        </w:rPr>
        <w:t xml:space="preserve"> mayor debilidad fiscal en la Patagonia</w:t>
      </w:r>
      <w:r w:rsidR="00370A69" w:rsidRPr="00CB3BD2">
        <w:rPr>
          <w:rFonts w:ascii="Arial" w:hAnsi="Arial" w:cs="Arial"/>
        </w:rPr>
        <w:t>,</w:t>
      </w:r>
      <w:r w:rsidR="00B50EA9" w:rsidRPr="00CB3BD2">
        <w:rPr>
          <w:rFonts w:ascii="Arial" w:hAnsi="Arial" w:cs="Arial"/>
        </w:rPr>
        <w:t xml:space="preserve"> contrasta con el mejor desempeño </w:t>
      </w:r>
      <w:r w:rsidR="00370A69" w:rsidRPr="00CB3BD2">
        <w:rPr>
          <w:rFonts w:ascii="Arial" w:hAnsi="Arial" w:cs="Arial"/>
        </w:rPr>
        <w:t>observado en</w:t>
      </w:r>
      <w:r w:rsidR="00B50EA9" w:rsidRPr="00CB3BD2">
        <w:rPr>
          <w:rFonts w:ascii="Arial" w:hAnsi="Arial" w:cs="Arial"/>
        </w:rPr>
        <w:t xml:space="preserve"> Cuyo. </w:t>
      </w:r>
    </w:p>
    <w:p w:rsidR="00733F41" w:rsidRPr="00CB3BD2" w:rsidRDefault="00733F41" w:rsidP="00CB3BD2">
      <w:pPr>
        <w:spacing w:after="0" w:line="360" w:lineRule="auto"/>
        <w:jc w:val="both"/>
        <w:rPr>
          <w:rFonts w:ascii="Arial" w:hAnsi="Arial" w:cs="Arial"/>
        </w:rPr>
      </w:pPr>
    </w:p>
    <w:p w:rsidR="007D6C0C" w:rsidRPr="00CB3BD2" w:rsidRDefault="007D6C0C" w:rsidP="00CB3BD2">
      <w:pPr>
        <w:spacing w:after="0" w:line="360" w:lineRule="auto"/>
        <w:jc w:val="both"/>
        <w:rPr>
          <w:rFonts w:ascii="Arial" w:hAnsi="Arial" w:cs="Arial"/>
        </w:rPr>
      </w:pPr>
      <w:r w:rsidRPr="00CB3BD2">
        <w:rPr>
          <w:rFonts w:ascii="Arial" w:hAnsi="Arial" w:cs="Arial"/>
        </w:rPr>
        <w:t xml:space="preserve">Como futuras líneas de trabajo se plantean la construcción del IFF para una </w:t>
      </w:r>
      <w:r w:rsidR="00B50EA9" w:rsidRPr="00CB3BD2">
        <w:rPr>
          <w:rFonts w:ascii="Arial" w:hAnsi="Arial" w:cs="Arial"/>
        </w:rPr>
        <w:t xml:space="preserve">serie larga de carácter anual y </w:t>
      </w:r>
      <w:r w:rsidRPr="00CB3BD2">
        <w:rPr>
          <w:rFonts w:ascii="Arial" w:hAnsi="Arial" w:cs="Arial"/>
        </w:rPr>
        <w:t xml:space="preserve">la implementación de modelos econométricos de datos de panel destinados a establecer los principales determinantes en el desempeño fiscal de las provincias </w:t>
      </w:r>
      <w:r w:rsidR="00B50EA9" w:rsidRPr="00CB3BD2">
        <w:rPr>
          <w:rFonts w:ascii="Arial" w:hAnsi="Arial" w:cs="Arial"/>
        </w:rPr>
        <w:t xml:space="preserve">y las discrepancias observadas a nivel regional, considerando tanto variables económicas tradicionales como aquellas de carácter político e institucional. </w:t>
      </w:r>
    </w:p>
    <w:p w:rsidR="00702832" w:rsidRPr="00CB3BD2" w:rsidRDefault="00702832" w:rsidP="00CB3BD2">
      <w:pPr>
        <w:spacing w:after="0" w:line="360" w:lineRule="auto"/>
        <w:rPr>
          <w:rFonts w:ascii="Arial" w:hAnsi="Arial" w:cs="Arial"/>
          <w:sz w:val="24"/>
          <w:szCs w:val="24"/>
        </w:rPr>
      </w:pPr>
      <w:r w:rsidRPr="00CB3BD2">
        <w:rPr>
          <w:rFonts w:ascii="Arial" w:hAnsi="Arial" w:cs="Arial"/>
          <w:sz w:val="24"/>
          <w:szCs w:val="24"/>
        </w:rPr>
        <w:br w:type="page"/>
      </w:r>
    </w:p>
    <w:p w:rsidR="00702832" w:rsidRPr="00CB3BD2" w:rsidRDefault="00702832" w:rsidP="00370A69">
      <w:pPr>
        <w:pStyle w:val="Ttulo1"/>
        <w:numPr>
          <w:ilvl w:val="0"/>
          <w:numId w:val="12"/>
        </w:numPr>
        <w:rPr>
          <w:rFonts w:ascii="Arial" w:hAnsi="Arial" w:cs="Arial"/>
          <w:b/>
          <w:color w:val="auto"/>
          <w:sz w:val="24"/>
          <w:szCs w:val="24"/>
        </w:rPr>
      </w:pPr>
      <w:r w:rsidRPr="00CB3BD2">
        <w:rPr>
          <w:rFonts w:ascii="Arial" w:hAnsi="Arial" w:cs="Arial"/>
          <w:b/>
          <w:color w:val="auto"/>
          <w:sz w:val="24"/>
          <w:szCs w:val="24"/>
        </w:rPr>
        <w:t>Anexo</w:t>
      </w:r>
    </w:p>
    <w:p w:rsidR="00702832" w:rsidRDefault="00702832" w:rsidP="00702832"/>
    <w:p w:rsidR="00702832" w:rsidRPr="00CB3BD2" w:rsidRDefault="00702832" w:rsidP="00B74DC8">
      <w:pPr>
        <w:spacing w:after="0" w:line="240" w:lineRule="auto"/>
        <w:jc w:val="center"/>
        <w:rPr>
          <w:rFonts w:ascii="Arial" w:hAnsi="Arial" w:cs="Arial"/>
          <w:b/>
        </w:rPr>
      </w:pPr>
      <w:r w:rsidRPr="00CB3BD2">
        <w:rPr>
          <w:rFonts w:ascii="Arial" w:hAnsi="Arial" w:cs="Arial"/>
          <w:b/>
        </w:rPr>
        <w:t>Histograma</w:t>
      </w:r>
      <w:r w:rsidR="009F65A6">
        <w:rPr>
          <w:rFonts w:ascii="Arial" w:hAnsi="Arial" w:cs="Arial"/>
          <w:b/>
        </w:rPr>
        <w:t>s</w:t>
      </w:r>
      <w:r w:rsidRPr="00CB3BD2">
        <w:rPr>
          <w:rFonts w:ascii="Arial" w:hAnsi="Arial" w:cs="Arial"/>
          <w:b/>
        </w:rPr>
        <w:t xml:space="preserve"> de frecuencias del IFF estandarizado por provincia</w:t>
      </w:r>
    </w:p>
    <w:p w:rsidR="00B74DC8" w:rsidRDefault="00B74DC8" w:rsidP="00B74DC8">
      <w:pPr>
        <w:spacing w:after="0" w:line="240" w:lineRule="auto"/>
        <w:jc w:val="center"/>
        <w:rPr>
          <w:rFonts w:ascii="Arial" w:hAnsi="Arial" w:cs="Arial"/>
        </w:rPr>
      </w:pPr>
      <w:r w:rsidRPr="00CB3BD2">
        <w:rPr>
          <w:rFonts w:ascii="Arial" w:hAnsi="Arial" w:cs="Arial"/>
        </w:rPr>
        <w:t>Simulación de 10.000 escenarios aleatorios de ponderación</w:t>
      </w:r>
      <w:r w:rsidR="00F10239" w:rsidRPr="00CB3BD2">
        <w:rPr>
          <w:rStyle w:val="Refdenotaalpie"/>
          <w:rFonts w:ascii="Arial" w:hAnsi="Arial" w:cs="Arial"/>
        </w:rPr>
        <w:footnoteReference w:id="9"/>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054"/>
      </w:tblGrid>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79C04D1C" wp14:editId="615B1305">
                  <wp:extent cx="2088000" cy="1518566"/>
                  <wp:effectExtent l="0" t="0" r="0" b="0"/>
                  <wp:docPr id="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enos aires.wmf"/>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088000" cy="1518566"/>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63A31681" wp14:editId="02A34D4D">
                  <wp:extent cx="2088000" cy="1518566"/>
                  <wp:effectExtent l="0" t="0" r="0" b="0"/>
                  <wp:docPr id="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BAB.wmf"/>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088000" cy="1518566"/>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41521A53" wp14:editId="05C8A777">
                  <wp:extent cx="2043085" cy="1485900"/>
                  <wp:effectExtent l="0" t="0" r="0" b="0"/>
                  <wp:docPr id="6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rdoba.wmf"/>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066545" cy="1502962"/>
                          </a:xfrm>
                          <a:prstGeom prst="rect">
                            <a:avLst/>
                          </a:prstGeom>
                        </pic:spPr>
                      </pic:pic>
                    </a:graphicData>
                  </a:graphic>
                </wp:inline>
              </w:drawing>
            </w:r>
          </w:p>
        </w:tc>
      </w:tr>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6219B06B" wp14:editId="0E91EB5D">
                  <wp:extent cx="1912118" cy="1390650"/>
                  <wp:effectExtent l="0" t="0" r="0" b="0"/>
                  <wp:docPr id="7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aco.wmf"/>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925311" cy="1400245"/>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7CB99BDD" wp14:editId="779D57C1">
                  <wp:extent cx="1885925" cy="1371600"/>
                  <wp:effectExtent l="0" t="0" r="0" b="0"/>
                  <wp:docPr id="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hubut.wmf"/>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894502" cy="1377838"/>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2393650C" wp14:editId="689852DA">
                  <wp:extent cx="1872828" cy="1362075"/>
                  <wp:effectExtent l="0" t="0" r="0" b="0"/>
                  <wp:docPr id="4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tamarca.wmf"/>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87949" cy="1373072"/>
                          </a:xfrm>
                          <a:prstGeom prst="rect">
                            <a:avLst/>
                          </a:prstGeom>
                        </pic:spPr>
                      </pic:pic>
                    </a:graphicData>
                  </a:graphic>
                </wp:inline>
              </w:drawing>
            </w:r>
          </w:p>
        </w:tc>
      </w:tr>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69059BD5" wp14:editId="17383916">
                  <wp:extent cx="1925215" cy="1400175"/>
                  <wp:effectExtent l="0" t="0" r="0" b="0"/>
                  <wp:docPr id="5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rrientes.wmf"/>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939040" cy="1410230"/>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3AE38475" wp14:editId="455D41F6">
                  <wp:extent cx="1951408" cy="1419225"/>
                  <wp:effectExtent l="0" t="0" r="0" b="0"/>
                  <wp:docPr id="7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NTRE RIOS.wmf"/>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964888" cy="1429029"/>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65E7742A" wp14:editId="7B60602C">
                  <wp:extent cx="1872828" cy="1362075"/>
                  <wp:effectExtent l="0" t="0" r="0" b="0"/>
                  <wp:docPr id="7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ormosa.wmf"/>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883606" cy="1369914"/>
                          </a:xfrm>
                          <a:prstGeom prst="rect">
                            <a:avLst/>
                          </a:prstGeom>
                        </pic:spPr>
                      </pic:pic>
                    </a:graphicData>
                  </a:graphic>
                </wp:inline>
              </w:drawing>
            </w:r>
          </w:p>
        </w:tc>
      </w:tr>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6E79D4A9" wp14:editId="52E03EA5">
                  <wp:extent cx="1912118" cy="1390650"/>
                  <wp:effectExtent l="0" t="0" r="0" b="0"/>
                  <wp:docPr id="7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jujuy.wmf"/>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924985" cy="1400008"/>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2A61FA00" wp14:editId="0BC09BF5">
                  <wp:extent cx="1859731" cy="1352550"/>
                  <wp:effectExtent l="0" t="0" r="0" b="0"/>
                  <wp:docPr id="77"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a pampa.wmf"/>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870542" cy="1360412"/>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123323E4" wp14:editId="4EF49FDE">
                  <wp:extent cx="1899021" cy="1381125"/>
                  <wp:effectExtent l="0" t="0" r="0" b="0"/>
                  <wp:docPr id="5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A RIOJA.wmf"/>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909408" cy="1388679"/>
                          </a:xfrm>
                          <a:prstGeom prst="rect">
                            <a:avLst/>
                          </a:prstGeom>
                        </pic:spPr>
                      </pic:pic>
                    </a:graphicData>
                  </a:graphic>
                </wp:inline>
              </w:drawing>
            </w:r>
          </w:p>
        </w:tc>
      </w:tr>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50D95B82" wp14:editId="3D986DE2">
                  <wp:extent cx="1885925" cy="1371600"/>
                  <wp:effectExtent l="0" t="0" r="0" b="0"/>
                  <wp:docPr id="8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endoza.wmf"/>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911823" cy="1390435"/>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0E64827F" wp14:editId="40EF0CEA">
                  <wp:extent cx="1899021" cy="1381125"/>
                  <wp:effectExtent l="0" t="0" r="0" b="0"/>
                  <wp:docPr id="7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isiones.wmf"/>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908904" cy="1388313"/>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18D71EBB" wp14:editId="0FC2A2A2">
                  <wp:extent cx="1899021" cy="1381125"/>
                  <wp:effectExtent l="0" t="0" r="0" b="0"/>
                  <wp:docPr id="8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EUQUEN.wmf"/>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911595" cy="1390270"/>
                          </a:xfrm>
                          <a:prstGeom prst="rect">
                            <a:avLst/>
                          </a:prstGeom>
                        </pic:spPr>
                      </pic:pic>
                    </a:graphicData>
                  </a:graphic>
                </wp:inline>
              </w:drawing>
            </w:r>
          </w:p>
        </w:tc>
      </w:tr>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3CC8CA71" wp14:editId="7E0B2198">
                  <wp:extent cx="1938311" cy="1409700"/>
                  <wp:effectExtent l="0" t="0" r="0" b="0"/>
                  <wp:docPr id="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io negro.wmf"/>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943187" cy="1413246"/>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76E218A6" wp14:editId="5AD890DD">
                  <wp:extent cx="1925215" cy="1400175"/>
                  <wp:effectExtent l="0" t="0" r="0" b="0"/>
                  <wp:docPr id="8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alta.wmf"/>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938668" cy="1409959"/>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3C923B59" wp14:editId="50FB9F78">
                  <wp:extent cx="1872828" cy="1362075"/>
                  <wp:effectExtent l="0" t="0" r="0" b="0"/>
                  <wp:docPr id="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an juan.wmf"/>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879317" cy="1366794"/>
                          </a:xfrm>
                          <a:prstGeom prst="rect">
                            <a:avLst/>
                          </a:prstGeom>
                        </pic:spPr>
                      </pic:pic>
                    </a:graphicData>
                  </a:graphic>
                </wp:inline>
              </w:drawing>
            </w:r>
          </w:p>
        </w:tc>
      </w:tr>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4DE6F845" wp14:editId="30CF5319">
                  <wp:extent cx="1899021" cy="1381125"/>
                  <wp:effectExtent l="0" t="0" r="0" b="0"/>
                  <wp:docPr id="6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an luis.wmf"/>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917521" cy="1394579"/>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70B15863" wp14:editId="5E98B0F2">
                  <wp:extent cx="1912118" cy="1390650"/>
                  <wp:effectExtent l="0" t="0" r="0" b="0"/>
                  <wp:docPr id="88"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anta cruz.wmf"/>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922212" cy="1397991"/>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69B01540" wp14:editId="232C231A">
                  <wp:extent cx="1899021" cy="1381125"/>
                  <wp:effectExtent l="0" t="0" r="0" b="0"/>
                  <wp:docPr id="89"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anta fe.wmf"/>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909673" cy="1388872"/>
                          </a:xfrm>
                          <a:prstGeom prst="rect">
                            <a:avLst/>
                          </a:prstGeom>
                        </pic:spPr>
                      </pic:pic>
                    </a:graphicData>
                  </a:graphic>
                </wp:inline>
              </w:drawing>
            </w:r>
          </w:p>
        </w:tc>
      </w:tr>
      <w:tr w:rsidR="001B4AEF" w:rsidTr="009F65A6">
        <w:trPr>
          <w:jc w:val="center"/>
        </w:trPr>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2F8590B2" wp14:editId="320CD1A2">
                  <wp:extent cx="1964505" cy="1428750"/>
                  <wp:effectExtent l="0" t="0" r="0" b="0"/>
                  <wp:docPr id="9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antigo del estero.wmf"/>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981314" cy="1440975"/>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59F4D6F0" wp14:editId="20E6A608">
                  <wp:extent cx="1899021" cy="1381125"/>
                  <wp:effectExtent l="0" t="0" r="0" b="0"/>
                  <wp:docPr id="91"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ucuman.wmf"/>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905773" cy="1386036"/>
                          </a:xfrm>
                          <a:prstGeom prst="rect">
                            <a:avLst/>
                          </a:prstGeom>
                        </pic:spPr>
                      </pic:pic>
                    </a:graphicData>
                  </a:graphic>
                </wp:inline>
              </w:drawing>
            </w:r>
          </w:p>
        </w:tc>
        <w:tc>
          <w:tcPr>
            <w:tcW w:w="3070" w:type="dxa"/>
          </w:tcPr>
          <w:p w:rsidR="001B4AEF" w:rsidRDefault="001B4AEF" w:rsidP="00B74DC8">
            <w:pPr>
              <w:jc w:val="center"/>
              <w:rPr>
                <w:rFonts w:ascii="Arial" w:hAnsi="Arial" w:cs="Arial"/>
              </w:rPr>
            </w:pPr>
            <w:r w:rsidRPr="0026178B">
              <w:rPr>
                <w:rFonts w:ascii="Times New Roman" w:hAnsi="Times New Roman" w:cs="Times New Roman"/>
                <w:b/>
                <w:noProof/>
                <w:color w:val="E36C0A" w:themeColor="accent6" w:themeShade="BF"/>
                <w:sz w:val="24"/>
                <w:szCs w:val="24"/>
              </w:rPr>
              <w:drawing>
                <wp:inline distT="0" distB="0" distL="0" distR="0" wp14:anchorId="45B4ACFC" wp14:editId="3F5D2AC5">
                  <wp:extent cx="1925215" cy="1400175"/>
                  <wp:effectExtent l="0" t="0" r="0" b="0"/>
                  <wp:docPr id="9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tierra del fuego.wmf"/>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936409" cy="1408316"/>
                          </a:xfrm>
                          <a:prstGeom prst="rect">
                            <a:avLst/>
                          </a:prstGeom>
                        </pic:spPr>
                      </pic:pic>
                    </a:graphicData>
                  </a:graphic>
                </wp:inline>
              </w:drawing>
            </w:r>
          </w:p>
        </w:tc>
      </w:tr>
    </w:tbl>
    <w:p w:rsidR="001B4AEF" w:rsidRPr="00CB3BD2" w:rsidRDefault="001B4AEF" w:rsidP="00B74DC8">
      <w:pPr>
        <w:spacing w:after="0" w:line="240" w:lineRule="auto"/>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02832" w:rsidTr="00A46662">
        <w:tc>
          <w:tcPr>
            <w:tcW w:w="4785" w:type="dxa"/>
          </w:tcPr>
          <w:p w:rsidR="00702832"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Pr="0026178B" w:rsidRDefault="00702832" w:rsidP="00A46662">
            <w:pPr>
              <w:spacing w:line="480" w:lineRule="auto"/>
              <w:jc w:val="both"/>
              <w:rPr>
                <w:rFonts w:ascii="Times New Roman" w:hAnsi="Times New Roman" w:cs="Times New Roman"/>
                <w:b/>
                <w:color w:val="E36C0A" w:themeColor="accent6" w:themeShade="BF"/>
                <w:sz w:val="24"/>
                <w:szCs w:val="24"/>
              </w:rPr>
            </w:pPr>
          </w:p>
        </w:tc>
      </w:tr>
      <w:tr w:rsidR="00702832" w:rsidTr="00A46662">
        <w:tc>
          <w:tcPr>
            <w:tcW w:w="4785" w:type="dxa"/>
          </w:tcPr>
          <w:p w:rsidR="00702832" w:rsidRDefault="00702832" w:rsidP="00A46662">
            <w:pPr>
              <w:spacing w:line="480" w:lineRule="auto"/>
              <w:jc w:val="both"/>
              <w:rPr>
                <w:rFonts w:ascii="Times New Roman" w:hAnsi="Times New Roman" w:cs="Times New Roman"/>
                <w:b/>
                <w:color w:val="E36C0A" w:themeColor="accent6" w:themeShade="BF"/>
                <w:sz w:val="24"/>
                <w:szCs w:val="24"/>
              </w:rPr>
            </w:pPr>
          </w:p>
        </w:tc>
        <w:tc>
          <w:tcPr>
            <w:tcW w:w="4785" w:type="dxa"/>
          </w:tcPr>
          <w:p w:rsidR="00702832" w:rsidRDefault="00702832" w:rsidP="00A46662">
            <w:pPr>
              <w:spacing w:line="480" w:lineRule="auto"/>
              <w:jc w:val="both"/>
              <w:rPr>
                <w:rFonts w:ascii="Times New Roman" w:hAnsi="Times New Roman" w:cs="Times New Roman"/>
                <w:b/>
                <w:color w:val="E36C0A" w:themeColor="accent6" w:themeShade="BF"/>
                <w:sz w:val="24"/>
                <w:szCs w:val="24"/>
              </w:rPr>
            </w:pPr>
          </w:p>
        </w:tc>
      </w:tr>
    </w:tbl>
    <w:p w:rsidR="00702832" w:rsidRDefault="00702832" w:rsidP="00702832">
      <w:pPr>
        <w:rPr>
          <w:rFonts w:ascii="Times New Roman" w:hAnsi="Times New Roman" w:cs="Times New Roman"/>
          <w:color w:val="1F497D" w:themeColor="text2"/>
          <w:sz w:val="24"/>
          <w:szCs w:val="24"/>
        </w:rPr>
      </w:pPr>
    </w:p>
    <w:p w:rsidR="00B74DC8" w:rsidRPr="00CB3BD2" w:rsidRDefault="00702832" w:rsidP="00B74DC8">
      <w:pPr>
        <w:pStyle w:val="Epgrafe"/>
        <w:keepNext/>
        <w:spacing w:after="0"/>
        <w:jc w:val="center"/>
        <w:rPr>
          <w:rFonts w:ascii="Arial" w:hAnsi="Arial" w:cs="Arial"/>
          <w:b/>
          <w:i w:val="0"/>
          <w:color w:val="000000" w:themeColor="text1"/>
          <w:sz w:val="22"/>
          <w:szCs w:val="22"/>
        </w:rPr>
      </w:pPr>
      <w:r w:rsidRPr="00CB3BD2">
        <w:rPr>
          <w:rFonts w:ascii="Arial" w:hAnsi="Arial" w:cs="Arial"/>
          <w:b/>
          <w:i w:val="0"/>
          <w:color w:val="000000" w:themeColor="text1"/>
          <w:sz w:val="22"/>
          <w:szCs w:val="22"/>
        </w:rPr>
        <w:t>Estadísticas descriptivas del IFF</w:t>
      </w:r>
    </w:p>
    <w:p w:rsidR="00B74DC8" w:rsidRPr="00CB3BD2" w:rsidRDefault="00B74DC8" w:rsidP="00B74DC8">
      <w:pPr>
        <w:spacing w:after="0"/>
        <w:jc w:val="center"/>
        <w:rPr>
          <w:rFonts w:ascii="Arial" w:hAnsi="Arial" w:cs="Arial"/>
        </w:rPr>
      </w:pPr>
      <w:r w:rsidRPr="00CB3BD2">
        <w:rPr>
          <w:rFonts w:ascii="Arial" w:hAnsi="Arial" w:cs="Arial"/>
        </w:rPr>
        <w:t>Simulación de 10.000 escenarios aleatorios de ponderación</w:t>
      </w:r>
    </w:p>
    <w:tbl>
      <w:tblPr>
        <w:tblW w:w="0" w:type="auto"/>
        <w:jc w:val="center"/>
        <w:tblCellMar>
          <w:left w:w="70" w:type="dxa"/>
          <w:right w:w="70" w:type="dxa"/>
        </w:tblCellMar>
        <w:tblLook w:val="04A0" w:firstRow="1" w:lastRow="0" w:firstColumn="1" w:lastColumn="0" w:noHBand="0" w:noVBand="1"/>
      </w:tblPr>
      <w:tblGrid>
        <w:gridCol w:w="2261"/>
        <w:gridCol w:w="1184"/>
        <w:gridCol w:w="1069"/>
        <w:gridCol w:w="1239"/>
        <w:gridCol w:w="1064"/>
        <w:gridCol w:w="965"/>
      </w:tblGrid>
      <w:tr w:rsidR="00702832" w:rsidRPr="00FF0E98" w:rsidTr="00A46662">
        <w:trPr>
          <w:trHeight w:val="300"/>
          <w:jc w:val="center"/>
        </w:trPr>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Variable</w:t>
            </w:r>
          </w:p>
        </w:tc>
        <w:tc>
          <w:tcPr>
            <w:tcW w:w="1184" w:type="dxa"/>
            <w:tcBorders>
              <w:top w:val="single" w:sz="4" w:space="0" w:color="auto"/>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Obs</w:t>
            </w:r>
          </w:p>
        </w:tc>
        <w:tc>
          <w:tcPr>
            <w:tcW w:w="1069" w:type="dxa"/>
            <w:tcBorders>
              <w:top w:val="single" w:sz="4" w:space="0" w:color="auto"/>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Mean</w:t>
            </w:r>
          </w:p>
        </w:tc>
        <w:tc>
          <w:tcPr>
            <w:tcW w:w="1239" w:type="dxa"/>
            <w:tcBorders>
              <w:top w:val="single" w:sz="4" w:space="0" w:color="auto"/>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Std. Dev.</w:t>
            </w:r>
          </w:p>
        </w:tc>
        <w:tc>
          <w:tcPr>
            <w:tcW w:w="1064" w:type="dxa"/>
            <w:tcBorders>
              <w:top w:val="single" w:sz="4" w:space="0" w:color="auto"/>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Min</w:t>
            </w:r>
          </w:p>
        </w:tc>
        <w:tc>
          <w:tcPr>
            <w:tcW w:w="965" w:type="dxa"/>
            <w:tcBorders>
              <w:top w:val="single" w:sz="4" w:space="0" w:color="auto"/>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Max</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BUENOS AIRES</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0.055813</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0.014477</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-0.00695</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0.113117</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CABA</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0.038716</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0.027565</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-0.06075</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0.149902</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CORDOBA</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-0.00275</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0.017833</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-0.07054</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0.070285</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CHACO</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-0.0088</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0.011193</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-0.05415</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0.031545</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CHUBUT</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0.086452</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0.022825</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-0.02511</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0.173267</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CATAMARCA</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-0.08057</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0.009131</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-0.11209</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-0.04393</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CORRIENTES</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-0.04566</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0.012606</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-0.08177</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0.007497</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ENTRE RIOS</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0.007044</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0.010607</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-0.03627</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0.044046</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FORMOSA</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-0.04644</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0.01067</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-0.07869</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0.002257</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JUJUY</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0.046399</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0.0174679</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-0.02137</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0.112677</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LA PAMPA</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-0.01281</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0.02123</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-0.09288</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0.068683</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LA RIOJA</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0.042621</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0.0202937</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-0.03976</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0.121092</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MENDOZA</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0.037324</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0.0096937</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0.003271</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0.075898</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MISIONES</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0.008824</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0.015363</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-0.05208</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0.067098</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NEUQUEN</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0.03372</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0.0101743</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-0.00503</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0.072323</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SANTA CRUZ</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0.016578</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0.016061</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-0.04617</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0.068494</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SANTA FE</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-0.02558</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0.015666</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-0.08099</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0.03396</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SANTIAGO DEL ESTERO</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-0.07306</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0.020456</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-0.14338</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0.011457</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TIERRA DEL FUEGO</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0.005297</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0.0074</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-0.02284</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0.03315</w:t>
            </w:r>
          </w:p>
        </w:tc>
      </w:tr>
      <w:tr w:rsidR="00702832" w:rsidRPr="00FF0E98" w:rsidTr="00A46662">
        <w:trPr>
          <w:trHeight w:val="300"/>
          <w:jc w:val="center"/>
        </w:trPr>
        <w:tc>
          <w:tcPr>
            <w:tcW w:w="0" w:type="auto"/>
            <w:tcBorders>
              <w:top w:val="nil"/>
              <w:left w:val="nil"/>
              <w:bottom w:val="single" w:sz="4" w:space="0" w:color="auto"/>
              <w:right w:val="single" w:sz="4" w:space="0" w:color="auto"/>
            </w:tcBorders>
            <w:shd w:val="clear" w:color="000000" w:fill="FFFFFF"/>
            <w:noWrap/>
            <w:vAlign w:val="bottom"/>
            <w:hideMark/>
          </w:tcPr>
          <w:p w:rsidR="00702832" w:rsidRPr="00FF0E98" w:rsidRDefault="00702832" w:rsidP="00A46662">
            <w:pPr>
              <w:spacing w:after="0" w:line="240" w:lineRule="auto"/>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TUCUMAN</w:t>
            </w:r>
          </w:p>
        </w:tc>
        <w:tc>
          <w:tcPr>
            <w:tcW w:w="118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10,000</w:t>
            </w:r>
          </w:p>
        </w:tc>
        <w:tc>
          <w:tcPr>
            <w:tcW w:w="106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-0.00343</w:t>
            </w:r>
          </w:p>
        </w:tc>
        <w:tc>
          <w:tcPr>
            <w:tcW w:w="1239"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0.013825</w:t>
            </w:r>
          </w:p>
        </w:tc>
        <w:tc>
          <w:tcPr>
            <w:tcW w:w="1064"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-0.05584</w:t>
            </w:r>
          </w:p>
        </w:tc>
        <w:tc>
          <w:tcPr>
            <w:tcW w:w="965" w:type="dxa"/>
            <w:tcBorders>
              <w:top w:val="nil"/>
              <w:left w:val="nil"/>
              <w:bottom w:val="single" w:sz="4" w:space="0" w:color="auto"/>
              <w:right w:val="nil"/>
            </w:tcBorders>
            <w:shd w:val="clear" w:color="000000" w:fill="FFFFFF"/>
            <w:noWrap/>
            <w:vAlign w:val="bottom"/>
            <w:hideMark/>
          </w:tcPr>
          <w:p w:rsidR="00702832" w:rsidRPr="00FF0E98" w:rsidRDefault="00702832" w:rsidP="00A46662">
            <w:pPr>
              <w:spacing w:after="0" w:line="240" w:lineRule="auto"/>
              <w:jc w:val="center"/>
              <w:rPr>
                <w:rFonts w:ascii="Arial" w:eastAsia="Times New Roman" w:hAnsi="Arial" w:cs="Arial"/>
                <w:color w:val="000000"/>
                <w:sz w:val="18"/>
                <w:szCs w:val="18"/>
                <w:lang w:val="es-AR" w:eastAsia="es-AR"/>
              </w:rPr>
            </w:pPr>
            <w:r w:rsidRPr="00FF0E98">
              <w:rPr>
                <w:rFonts w:ascii="Arial" w:eastAsia="Times New Roman" w:hAnsi="Arial" w:cs="Arial"/>
                <w:color w:val="000000"/>
                <w:sz w:val="18"/>
                <w:szCs w:val="18"/>
                <w:lang w:val="es-AR" w:eastAsia="es-AR"/>
              </w:rPr>
              <w:t>0.047454</w:t>
            </w:r>
          </w:p>
        </w:tc>
      </w:tr>
    </w:tbl>
    <w:p w:rsidR="00B74DC8" w:rsidRDefault="00B74DC8" w:rsidP="001B4AEF">
      <w:pPr>
        <w:spacing w:after="0" w:line="480" w:lineRule="auto"/>
        <w:rPr>
          <w:rFonts w:ascii="Times New Roman" w:hAnsi="Times New Roman" w:cs="Times New Roman"/>
          <w:b/>
          <w:sz w:val="24"/>
          <w:szCs w:val="24"/>
          <w:lang w:val="es-AR"/>
        </w:rPr>
      </w:pPr>
    </w:p>
    <w:p w:rsidR="00B74DC8" w:rsidRPr="00CB3BD2" w:rsidRDefault="00B74DC8" w:rsidP="00B74DC8">
      <w:pPr>
        <w:pStyle w:val="Epgrafe"/>
        <w:keepNext/>
        <w:jc w:val="center"/>
        <w:rPr>
          <w:rFonts w:ascii="Arial" w:hAnsi="Arial" w:cs="Arial"/>
          <w:b/>
          <w:i w:val="0"/>
          <w:color w:val="000000" w:themeColor="text1"/>
          <w:sz w:val="22"/>
          <w:szCs w:val="22"/>
        </w:rPr>
      </w:pPr>
      <w:r w:rsidRPr="00CB3BD2">
        <w:rPr>
          <w:rFonts w:ascii="Arial" w:hAnsi="Arial" w:cs="Arial"/>
          <w:b/>
          <w:i w:val="0"/>
          <w:color w:val="000000" w:themeColor="text1"/>
          <w:sz w:val="22"/>
          <w:szCs w:val="22"/>
        </w:rPr>
        <w:t>Ranking de provincias en términos del IFF utilizando el valor medio de los escenarios simulados</w:t>
      </w:r>
    </w:p>
    <w:tbl>
      <w:tblPr>
        <w:tblW w:w="3841" w:type="dxa"/>
        <w:jc w:val="center"/>
        <w:tblCellMar>
          <w:left w:w="70" w:type="dxa"/>
          <w:right w:w="70" w:type="dxa"/>
        </w:tblCellMar>
        <w:tblLook w:val="04A0" w:firstRow="1" w:lastRow="0" w:firstColumn="1" w:lastColumn="0" w:noHBand="0" w:noVBand="1"/>
      </w:tblPr>
      <w:tblGrid>
        <w:gridCol w:w="2566"/>
        <w:gridCol w:w="1275"/>
      </w:tblGrid>
      <w:tr w:rsidR="00702832" w:rsidRPr="00CB3BD2" w:rsidTr="00702832">
        <w:trPr>
          <w:trHeight w:val="170"/>
          <w:jc w:val="center"/>
        </w:trPr>
        <w:tc>
          <w:tcPr>
            <w:tcW w:w="0" w:type="auto"/>
            <w:tcBorders>
              <w:top w:val="single" w:sz="4" w:space="0" w:color="auto"/>
              <w:left w:val="single" w:sz="4" w:space="0" w:color="auto"/>
              <w:bottom w:val="single" w:sz="4" w:space="0" w:color="FFFFFF"/>
              <w:right w:val="single" w:sz="4" w:space="0" w:color="FFFFFF"/>
            </w:tcBorders>
            <w:shd w:val="clear" w:color="000000" w:fill="002060"/>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Provincia</w:t>
            </w:r>
          </w:p>
        </w:tc>
        <w:tc>
          <w:tcPr>
            <w:tcW w:w="0" w:type="auto"/>
            <w:tcBorders>
              <w:top w:val="single" w:sz="4" w:space="0" w:color="auto"/>
              <w:left w:val="nil"/>
              <w:bottom w:val="single" w:sz="4" w:space="0" w:color="FFFFFF"/>
              <w:right w:val="single" w:sz="4" w:space="0" w:color="auto"/>
            </w:tcBorders>
            <w:shd w:val="clear" w:color="000000" w:fill="002060"/>
            <w:vAlign w:val="center"/>
            <w:hideMark/>
          </w:tcPr>
          <w:p w:rsidR="00702832" w:rsidRPr="001B4AEF" w:rsidRDefault="00B74DC8"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Ranking</w:t>
            </w:r>
          </w:p>
        </w:tc>
      </w:tr>
      <w:tr w:rsidR="00702832" w:rsidRPr="00CB3BD2" w:rsidTr="00702832">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San Luis</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Catamarca</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2</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Santiago del Estero</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3</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San Juan</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4</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Formosa</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5</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Corrientes</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6</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Santa Fe</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7</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 xml:space="preserve">La Pampa </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8</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Chaco</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9</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Tucumán</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10</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Córdoba</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11</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Tierra del Fuego</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12</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Entre Ríos</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13</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Misiones</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14</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Santa Cruz</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15</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Río Negro</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16</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Neuquén</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17</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Mendoza</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18</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CABA</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19</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La Rioja</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20</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Salta</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21</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Jujuy</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22</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Buenos Aires</w:t>
            </w:r>
          </w:p>
        </w:tc>
        <w:tc>
          <w:tcPr>
            <w:tcW w:w="0" w:type="auto"/>
            <w:tcBorders>
              <w:top w:val="nil"/>
              <w:left w:val="nil"/>
              <w:bottom w:val="nil"/>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23</w:t>
            </w:r>
          </w:p>
        </w:tc>
      </w:tr>
      <w:tr w:rsidR="00702832" w:rsidRPr="00CB3BD2" w:rsidTr="00702832">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2832" w:rsidRPr="001B4AEF" w:rsidRDefault="00702832" w:rsidP="00A46662">
            <w:pPr>
              <w:spacing w:after="0" w:line="240" w:lineRule="auto"/>
              <w:rPr>
                <w:rFonts w:ascii="Arial" w:eastAsia="Times New Roman" w:hAnsi="Arial" w:cs="Arial"/>
                <w:color w:val="000000"/>
                <w:sz w:val="18"/>
                <w:szCs w:val="18"/>
                <w:lang w:val="es-AR" w:eastAsia="es-AR"/>
              </w:rPr>
            </w:pPr>
            <w:r w:rsidRPr="001B4AEF">
              <w:rPr>
                <w:rFonts w:ascii="Arial" w:eastAsia="Times New Roman" w:hAnsi="Arial" w:cs="Arial"/>
                <w:color w:val="000000"/>
                <w:sz w:val="18"/>
                <w:szCs w:val="18"/>
                <w:lang w:val="es-AR" w:eastAsia="es-AR"/>
              </w:rPr>
              <w:t>Chubut</w:t>
            </w:r>
          </w:p>
        </w:tc>
        <w:tc>
          <w:tcPr>
            <w:tcW w:w="0" w:type="auto"/>
            <w:tcBorders>
              <w:top w:val="nil"/>
              <w:left w:val="nil"/>
              <w:bottom w:val="single" w:sz="4" w:space="0" w:color="auto"/>
              <w:right w:val="single" w:sz="4" w:space="0" w:color="auto"/>
            </w:tcBorders>
            <w:shd w:val="clear" w:color="000000" w:fill="8EA9DB"/>
            <w:noWrap/>
            <w:vAlign w:val="center"/>
            <w:hideMark/>
          </w:tcPr>
          <w:p w:rsidR="00702832" w:rsidRPr="001B4AEF" w:rsidRDefault="00702832" w:rsidP="00A46662">
            <w:pPr>
              <w:spacing w:after="0" w:line="240" w:lineRule="auto"/>
              <w:jc w:val="center"/>
              <w:rPr>
                <w:rFonts w:ascii="Arial" w:eastAsia="Times New Roman" w:hAnsi="Arial" w:cs="Arial"/>
                <w:b/>
                <w:bCs/>
                <w:color w:val="FFFFFF"/>
                <w:sz w:val="18"/>
                <w:szCs w:val="18"/>
                <w:lang w:val="es-AR" w:eastAsia="es-AR"/>
              </w:rPr>
            </w:pPr>
            <w:r w:rsidRPr="001B4AEF">
              <w:rPr>
                <w:rFonts w:ascii="Arial" w:eastAsia="Times New Roman" w:hAnsi="Arial" w:cs="Arial"/>
                <w:b/>
                <w:bCs/>
                <w:color w:val="FFFFFF"/>
                <w:sz w:val="18"/>
                <w:szCs w:val="18"/>
                <w:lang w:val="es-AR" w:eastAsia="es-AR"/>
              </w:rPr>
              <w:t>24</w:t>
            </w:r>
          </w:p>
        </w:tc>
      </w:tr>
    </w:tbl>
    <w:p w:rsidR="00702832" w:rsidRPr="00702832" w:rsidRDefault="00702832" w:rsidP="00702832"/>
    <w:p w:rsidR="004356A1" w:rsidRPr="00CB3BD2" w:rsidRDefault="00475274" w:rsidP="00475274">
      <w:pPr>
        <w:pStyle w:val="Ttulo1"/>
        <w:rPr>
          <w:rFonts w:ascii="Arial" w:hAnsi="Arial" w:cs="Arial"/>
          <w:b/>
          <w:color w:val="auto"/>
          <w:sz w:val="22"/>
          <w:szCs w:val="22"/>
          <w:lang w:val="es-AR"/>
        </w:rPr>
      </w:pPr>
      <w:r w:rsidRPr="00CB3BD2">
        <w:rPr>
          <w:rFonts w:ascii="Arial" w:hAnsi="Arial" w:cs="Arial"/>
          <w:b/>
          <w:color w:val="auto"/>
          <w:sz w:val="22"/>
          <w:szCs w:val="22"/>
          <w:lang w:val="es-AR"/>
        </w:rPr>
        <w:t>Referencias bibliográficas</w:t>
      </w:r>
    </w:p>
    <w:p w:rsidR="007D6C0C" w:rsidRPr="00CB3BD2" w:rsidRDefault="007D6C0C" w:rsidP="007D6C0C">
      <w:pPr>
        <w:rPr>
          <w:rFonts w:ascii="Arial" w:hAnsi="Arial" w:cs="Arial"/>
          <w:lang w:val="es-AR"/>
        </w:rPr>
      </w:pPr>
    </w:p>
    <w:p w:rsidR="002C5CC3" w:rsidRPr="00CB3BD2" w:rsidRDefault="002C5CC3" w:rsidP="002C5CC3">
      <w:pPr>
        <w:jc w:val="both"/>
        <w:rPr>
          <w:rFonts w:ascii="Arial" w:hAnsi="Arial" w:cs="Arial"/>
        </w:rPr>
      </w:pPr>
      <w:r w:rsidRPr="00CB3BD2">
        <w:rPr>
          <w:rFonts w:ascii="Arial" w:hAnsi="Arial" w:cs="Arial"/>
        </w:rPr>
        <w:t xml:space="preserve">Agosto, W. y Casadei, E. (2017). Índice de transparencia presupuestaria provincial. Edición 2017. Documento de Políticas Públicas/Análisis N°128. CIPPEC, Buenos Aires.  </w:t>
      </w:r>
    </w:p>
    <w:p w:rsidR="0009499C" w:rsidRPr="00CB3BD2" w:rsidRDefault="0009499C" w:rsidP="002C5CC3">
      <w:pPr>
        <w:jc w:val="both"/>
        <w:rPr>
          <w:rFonts w:ascii="Arial" w:hAnsi="Arial" w:cs="Arial"/>
        </w:rPr>
      </w:pPr>
      <w:r w:rsidRPr="00CB3BD2">
        <w:rPr>
          <w:rFonts w:ascii="Arial" w:hAnsi="Arial" w:cs="Arial"/>
        </w:rPr>
        <w:t xml:space="preserve">Cetrángolo, O., Jiménez, J. P., Devoto, F. y Vega, D. (2002).Las finanzas públicas provinciales: situación actual y perspectivas. Serie Estudios y Perspectivas Nº 12, CEPAL, Buenos Aires. </w:t>
      </w:r>
    </w:p>
    <w:p w:rsidR="0009499C" w:rsidRPr="00CB3BD2" w:rsidRDefault="0009499C" w:rsidP="002C5CC3">
      <w:pPr>
        <w:jc w:val="both"/>
        <w:rPr>
          <w:rFonts w:ascii="Arial" w:hAnsi="Arial" w:cs="Arial"/>
        </w:rPr>
      </w:pPr>
      <w:r w:rsidRPr="00CB3BD2">
        <w:rPr>
          <w:rFonts w:ascii="Arial" w:hAnsi="Arial" w:cs="Arial"/>
        </w:rPr>
        <w:t xml:space="preserve">Ferreres, O. J. (2005). Dos siglos de economía argentina (1810-2004): historia argentina en cifras. Primera edición. Fundación Norte y Sur y Editorial El Ateneo, Buenos Aires. </w:t>
      </w:r>
    </w:p>
    <w:p w:rsidR="00E45C0B" w:rsidRPr="00CB3BD2" w:rsidRDefault="00860744" w:rsidP="002C5CC3">
      <w:pPr>
        <w:jc w:val="both"/>
        <w:rPr>
          <w:rFonts w:ascii="Arial" w:hAnsi="Arial" w:cs="Arial"/>
          <w:lang w:val="en-US"/>
        </w:rPr>
      </w:pPr>
      <w:r w:rsidRPr="00CB3BD2">
        <w:rPr>
          <w:rFonts w:ascii="Arial" w:hAnsi="Arial" w:cs="Arial"/>
        </w:rPr>
        <w:t xml:space="preserve">Hemming, R. y Petri, M. (2000). </w:t>
      </w:r>
      <w:r w:rsidR="00A46662" w:rsidRPr="00CB3BD2">
        <w:rPr>
          <w:rFonts w:ascii="Arial" w:hAnsi="Arial" w:cs="Arial"/>
          <w:lang w:val="en-US"/>
        </w:rPr>
        <w:t>A framework for assessing fiscal v</w:t>
      </w:r>
      <w:r w:rsidRPr="00CB3BD2">
        <w:rPr>
          <w:rFonts w:ascii="Arial" w:hAnsi="Arial" w:cs="Arial"/>
          <w:lang w:val="en-US"/>
        </w:rPr>
        <w:t>ulnerability. IMF Working Paper Nº52. International Monetary Fund, Washington D.C.</w:t>
      </w:r>
    </w:p>
    <w:p w:rsidR="007D6C0C" w:rsidRPr="00CB3BD2" w:rsidRDefault="00860744" w:rsidP="002C5CC3">
      <w:pPr>
        <w:jc w:val="both"/>
        <w:rPr>
          <w:rFonts w:ascii="Arial" w:hAnsi="Arial" w:cs="Arial"/>
        </w:rPr>
      </w:pPr>
      <w:r w:rsidRPr="00CB3BD2">
        <w:rPr>
          <w:rFonts w:ascii="Arial" w:hAnsi="Arial" w:cs="Arial"/>
        </w:rPr>
        <w:t>Jiménez, J. P., y Ruelas, I. (2016). El endeudamiento de los gobiernos subnacionales en América Latina: evolución, institucionalidad y desafíos. Serie Macroeconomía del Desarrollo Nº 186, CEPAL, Santiago de Chile</w:t>
      </w:r>
      <w:r w:rsidR="0009499C" w:rsidRPr="00CB3BD2">
        <w:rPr>
          <w:rFonts w:ascii="Arial" w:hAnsi="Arial" w:cs="Arial"/>
        </w:rPr>
        <w:t xml:space="preserve">, </w:t>
      </w:r>
    </w:p>
    <w:p w:rsidR="00860744" w:rsidRPr="001D460F" w:rsidRDefault="00860744" w:rsidP="002C5CC3">
      <w:pPr>
        <w:jc w:val="both"/>
        <w:rPr>
          <w:rFonts w:ascii="Arial" w:hAnsi="Arial" w:cs="Arial"/>
          <w:lang w:val="en-US"/>
        </w:rPr>
      </w:pPr>
      <w:r w:rsidRPr="00CB3BD2">
        <w:rPr>
          <w:rFonts w:ascii="Arial" w:hAnsi="Arial" w:cs="Arial"/>
        </w:rPr>
        <w:t xml:space="preserve">Jiménez, J. P. y </w:t>
      </w:r>
      <w:r w:rsidR="00A46662" w:rsidRPr="00CB3BD2">
        <w:rPr>
          <w:rFonts w:ascii="Arial" w:hAnsi="Arial" w:cs="Arial"/>
        </w:rPr>
        <w:t>Ter-Minassian, T.</w:t>
      </w:r>
      <w:r w:rsidRPr="00CB3BD2">
        <w:rPr>
          <w:rFonts w:ascii="Arial" w:hAnsi="Arial" w:cs="Arial"/>
        </w:rPr>
        <w:t xml:space="preserve"> (2011). </w:t>
      </w:r>
      <w:r w:rsidRPr="00CB3BD2">
        <w:rPr>
          <w:rFonts w:ascii="Arial" w:hAnsi="Arial" w:cs="Arial"/>
          <w:lang w:val="en-US"/>
        </w:rPr>
        <w:t>Macroeconomic challenges of fiscal decentralization in Latin America in the aftermath of the global financial crisis.</w:t>
      </w:r>
      <w:r w:rsidR="00FA26DF">
        <w:rPr>
          <w:rFonts w:ascii="Arial" w:hAnsi="Arial" w:cs="Arial"/>
          <w:lang w:val="en-US"/>
        </w:rPr>
        <w:t xml:space="preserve"> </w:t>
      </w:r>
      <w:r w:rsidR="00A46662" w:rsidRPr="001D460F">
        <w:rPr>
          <w:rFonts w:ascii="Arial" w:hAnsi="Arial" w:cs="Arial"/>
          <w:lang w:val="en-US"/>
        </w:rPr>
        <w:t>Serie Macroeconomía del Desarrollo Nº 112, CEPAL, Santiago de Chile</w:t>
      </w:r>
      <w:r w:rsidR="0009499C" w:rsidRPr="001D460F">
        <w:rPr>
          <w:rFonts w:ascii="Arial" w:hAnsi="Arial" w:cs="Arial"/>
          <w:lang w:val="en-US"/>
        </w:rPr>
        <w:t xml:space="preserve">. </w:t>
      </w:r>
    </w:p>
    <w:p w:rsidR="00A46662" w:rsidRPr="00CB3BD2" w:rsidRDefault="00A46662" w:rsidP="002C5CC3">
      <w:pPr>
        <w:jc w:val="both"/>
        <w:rPr>
          <w:rFonts w:ascii="Arial" w:hAnsi="Arial" w:cs="Arial"/>
        </w:rPr>
      </w:pPr>
      <w:r w:rsidRPr="00CB3BD2">
        <w:rPr>
          <w:rFonts w:ascii="Arial" w:hAnsi="Arial" w:cs="Arial"/>
        </w:rPr>
        <w:t xml:space="preserve">Jiménez, J. P. y Ter-Minassian, T. (2016). Política fiscal y ciclo: el rol de los gobiernos subnacionales. Serie Macroeconomía del Desarrollo Nº 173, CEPAL, Santiago de Chile. </w:t>
      </w:r>
    </w:p>
    <w:p w:rsidR="00A46662" w:rsidRPr="00CB3BD2" w:rsidRDefault="00A46662" w:rsidP="002C5CC3">
      <w:pPr>
        <w:jc w:val="both"/>
        <w:rPr>
          <w:rFonts w:ascii="Arial" w:hAnsi="Arial" w:cs="Arial"/>
          <w:lang w:val="en-US"/>
        </w:rPr>
      </w:pPr>
      <w:r w:rsidRPr="00CB3BD2">
        <w:rPr>
          <w:rFonts w:ascii="Arial" w:hAnsi="Arial" w:cs="Arial"/>
        </w:rPr>
        <w:t xml:space="preserve">Jones, M. P., Sanguinetti, P. y Tommasi, M. (2000). </w:t>
      </w:r>
      <w:r w:rsidRPr="00CB3BD2">
        <w:rPr>
          <w:rFonts w:ascii="Arial" w:hAnsi="Arial" w:cs="Arial"/>
          <w:lang w:val="en-US"/>
        </w:rPr>
        <w:t>Politics, institutions, and fiscal performance in a federal system: an analysis of the Argentine provinces. Journal of Development Economics, Vol.61 (2), 305-333.</w:t>
      </w:r>
    </w:p>
    <w:p w:rsidR="00A46662" w:rsidRPr="00CB3BD2" w:rsidRDefault="00EC7D44" w:rsidP="002C5CC3">
      <w:pPr>
        <w:jc w:val="both"/>
        <w:rPr>
          <w:rFonts w:ascii="Arial" w:hAnsi="Arial" w:cs="Arial"/>
          <w:lang w:val="en-US"/>
        </w:rPr>
      </w:pPr>
      <w:hyperlink r:id="rId64" w:tooltip="OECD" w:history="1">
        <w:r w:rsidR="00A46662" w:rsidRPr="00CB3BD2">
          <w:rPr>
            <w:rFonts w:ascii="Arial" w:hAnsi="Arial" w:cs="Arial"/>
            <w:lang w:val="en-US"/>
          </w:rPr>
          <w:t>OECD</w:t>
        </w:r>
      </w:hyperlink>
      <w:r w:rsidR="00A46662" w:rsidRPr="00CB3BD2">
        <w:rPr>
          <w:rFonts w:ascii="Arial" w:hAnsi="Arial" w:cs="Arial"/>
          <w:lang w:val="en-US"/>
        </w:rPr>
        <w:t xml:space="preserve"> y </w:t>
      </w:r>
      <w:hyperlink r:id="rId65" w:tooltip="Joint Research Centre" w:history="1">
        <w:r w:rsidR="00A46662" w:rsidRPr="00CB3BD2">
          <w:rPr>
            <w:rFonts w:ascii="Arial" w:hAnsi="Arial" w:cs="Arial"/>
            <w:lang w:val="en-US"/>
          </w:rPr>
          <w:t>Joint Research Centre</w:t>
        </w:r>
      </w:hyperlink>
      <w:r w:rsidR="00A46662" w:rsidRPr="00CB3BD2">
        <w:rPr>
          <w:rFonts w:ascii="Arial" w:hAnsi="Arial" w:cs="Arial"/>
          <w:lang w:val="en-US"/>
        </w:rPr>
        <w:t> (2008). </w:t>
      </w:r>
      <w:hyperlink r:id="rId66" w:history="1">
        <w:r w:rsidR="00A46662" w:rsidRPr="00CB3BD2">
          <w:rPr>
            <w:rFonts w:ascii="Arial" w:hAnsi="Arial" w:cs="Arial"/>
            <w:lang w:val="en-US"/>
          </w:rPr>
          <w:t>Handbook on constructing composite indicators: methodology and user guide</w:t>
        </w:r>
      </w:hyperlink>
      <w:r w:rsidR="00A46662" w:rsidRPr="00CB3BD2">
        <w:rPr>
          <w:rFonts w:ascii="Arial" w:hAnsi="Arial" w:cs="Arial"/>
          <w:lang w:val="en-US"/>
        </w:rPr>
        <w:t>. Paris: OECD.</w:t>
      </w:r>
    </w:p>
    <w:p w:rsidR="0009499C" w:rsidRPr="00CB3BD2" w:rsidRDefault="0009499C" w:rsidP="002C5CC3">
      <w:pPr>
        <w:jc w:val="both"/>
        <w:rPr>
          <w:rFonts w:ascii="Arial" w:hAnsi="Arial" w:cs="Arial"/>
        </w:rPr>
      </w:pPr>
      <w:r w:rsidRPr="00CB3BD2">
        <w:rPr>
          <w:rFonts w:ascii="Arial" w:hAnsi="Arial" w:cs="Arial"/>
        </w:rPr>
        <w:t>Porto, A. y Di Gresia, L. (2007). El result</w:t>
      </w:r>
      <w:r w:rsidR="00FA26DF">
        <w:rPr>
          <w:rFonts w:ascii="Arial" w:hAnsi="Arial" w:cs="Arial"/>
        </w:rPr>
        <w:t>ado fiscal de las provincias: ¿</w:t>
      </w:r>
      <w:r w:rsidRPr="00CB3BD2">
        <w:rPr>
          <w:rFonts w:ascii="Arial" w:hAnsi="Arial" w:cs="Arial"/>
        </w:rPr>
        <w:t xml:space="preserve">exógeno o endógeno? Una mirada de mediano plazo. Documento de Trabajo Nº 73, Departamento de Economía, Facultad de Ciencias Económicas, Universidad Nacional de La Plata. </w:t>
      </w:r>
    </w:p>
    <w:p w:rsidR="002C5CC3" w:rsidRPr="00957831" w:rsidRDefault="0009499C" w:rsidP="002C5CC3">
      <w:pPr>
        <w:jc w:val="both"/>
        <w:rPr>
          <w:rFonts w:ascii="Arial" w:hAnsi="Arial" w:cs="Arial"/>
        </w:rPr>
      </w:pPr>
      <w:r w:rsidRPr="00CB3BD2">
        <w:rPr>
          <w:rFonts w:ascii="Arial" w:hAnsi="Arial" w:cs="Arial"/>
        </w:rPr>
        <w:t xml:space="preserve">Rumi, C. (2003). Determinantes políticos del desempeño fiscal para las provincias argentinas. </w:t>
      </w:r>
      <w:r w:rsidR="002C5CC3" w:rsidRPr="00CB3BD2">
        <w:rPr>
          <w:rFonts w:ascii="Arial" w:hAnsi="Arial" w:cs="Arial"/>
        </w:rPr>
        <w:t xml:space="preserve">Universidad Nacional de La Plata. </w:t>
      </w:r>
    </w:p>
    <w:p w:rsidR="00957831" w:rsidRDefault="00957831" w:rsidP="002C5CC3">
      <w:pPr>
        <w:jc w:val="both"/>
        <w:rPr>
          <w:rFonts w:ascii="Arial" w:hAnsi="Arial" w:cs="Arial"/>
          <w:b/>
        </w:rPr>
      </w:pPr>
    </w:p>
    <w:p w:rsidR="002C5CC3" w:rsidRPr="00CB3BD2" w:rsidRDefault="002C5CC3" w:rsidP="002C5CC3">
      <w:pPr>
        <w:jc w:val="both"/>
        <w:rPr>
          <w:rFonts w:ascii="Arial" w:hAnsi="Arial" w:cs="Arial"/>
          <w:b/>
        </w:rPr>
      </w:pPr>
      <w:r w:rsidRPr="00CB3BD2">
        <w:rPr>
          <w:rFonts w:ascii="Arial" w:hAnsi="Arial" w:cs="Arial"/>
          <w:b/>
        </w:rPr>
        <w:t>Sitios web consultados:</w:t>
      </w:r>
    </w:p>
    <w:p w:rsidR="002C5CC3" w:rsidRPr="00CB3BD2" w:rsidRDefault="002C5CC3" w:rsidP="002C5CC3">
      <w:pPr>
        <w:jc w:val="both"/>
        <w:rPr>
          <w:rFonts w:ascii="Arial" w:hAnsi="Arial" w:cs="Arial"/>
        </w:rPr>
      </w:pPr>
      <w:r w:rsidRPr="00CB3BD2">
        <w:rPr>
          <w:rFonts w:ascii="Arial" w:hAnsi="Arial" w:cs="Arial"/>
        </w:rPr>
        <w:t xml:space="preserve">Dirección Nacional de Coordinación Fiscal con las Provincias (Ministerio de Hacienda de la Nación): </w:t>
      </w:r>
    </w:p>
    <w:p w:rsidR="002C5CC3" w:rsidRPr="00CB3BD2" w:rsidRDefault="00EC7D44" w:rsidP="002C5CC3">
      <w:pPr>
        <w:jc w:val="both"/>
        <w:rPr>
          <w:rFonts w:ascii="Arial" w:hAnsi="Arial" w:cs="Arial"/>
        </w:rPr>
      </w:pPr>
      <w:hyperlink r:id="rId67" w:history="1">
        <w:r w:rsidR="002C5CC3" w:rsidRPr="00CB3BD2">
          <w:rPr>
            <w:rStyle w:val="Hipervnculo"/>
            <w:rFonts w:ascii="Arial" w:hAnsi="Arial" w:cs="Arial"/>
          </w:rPr>
          <w:t>http://www2.mecon.gov.ar/hacienda/dncfp/index.php</w:t>
        </w:r>
      </w:hyperlink>
    </w:p>
    <w:p w:rsidR="00957831" w:rsidRDefault="00957831" w:rsidP="002C5CC3">
      <w:pPr>
        <w:jc w:val="both"/>
        <w:rPr>
          <w:rFonts w:ascii="Arial" w:hAnsi="Arial" w:cs="Arial"/>
        </w:rPr>
      </w:pPr>
    </w:p>
    <w:p w:rsidR="002C5CC3" w:rsidRPr="00CB3BD2" w:rsidRDefault="002C5CC3" w:rsidP="002C5CC3">
      <w:pPr>
        <w:jc w:val="both"/>
        <w:rPr>
          <w:rFonts w:ascii="Arial" w:hAnsi="Arial" w:cs="Arial"/>
        </w:rPr>
      </w:pPr>
      <w:r w:rsidRPr="00CB3BD2">
        <w:rPr>
          <w:rFonts w:ascii="Arial" w:hAnsi="Arial" w:cs="Arial"/>
        </w:rPr>
        <w:t xml:space="preserve">Instituto Nacional de Estadísticas y Censos (INDEC): </w:t>
      </w:r>
    </w:p>
    <w:p w:rsidR="002C5CC3" w:rsidRPr="00CB3BD2" w:rsidRDefault="00EC7D44" w:rsidP="002C5CC3">
      <w:pPr>
        <w:jc w:val="both"/>
        <w:rPr>
          <w:rStyle w:val="Hipervnculo"/>
          <w:rFonts w:ascii="Arial" w:hAnsi="Arial" w:cs="Arial"/>
        </w:rPr>
      </w:pPr>
      <w:hyperlink r:id="rId68" w:history="1">
        <w:r w:rsidR="002C5CC3" w:rsidRPr="00CB3BD2">
          <w:rPr>
            <w:rStyle w:val="Hipervnculo"/>
            <w:rFonts w:ascii="Arial" w:hAnsi="Arial" w:cs="Arial"/>
          </w:rPr>
          <w:t>https://www.indec.gov.ar/</w:t>
        </w:r>
      </w:hyperlink>
    </w:p>
    <w:p w:rsidR="0099018A" w:rsidRPr="00CB3BD2" w:rsidRDefault="0099018A" w:rsidP="002C5CC3">
      <w:pPr>
        <w:jc w:val="both"/>
        <w:rPr>
          <w:rFonts w:ascii="Arial" w:hAnsi="Arial" w:cs="Arial"/>
        </w:rPr>
      </w:pPr>
    </w:p>
    <w:p w:rsidR="0099018A" w:rsidRPr="00CB3BD2" w:rsidRDefault="004E6464" w:rsidP="002C5CC3">
      <w:pPr>
        <w:jc w:val="both"/>
        <w:rPr>
          <w:rFonts w:ascii="Arial" w:hAnsi="Arial" w:cs="Arial"/>
        </w:rPr>
      </w:pPr>
      <w:r w:rsidRPr="00CB3BD2">
        <w:rPr>
          <w:rFonts w:ascii="Arial" w:hAnsi="Arial" w:cs="Arial"/>
        </w:rPr>
        <w:t>Ejecución presupuestaria 2017 -</w:t>
      </w:r>
      <w:r w:rsidR="0099018A" w:rsidRPr="00CB3BD2">
        <w:rPr>
          <w:rFonts w:ascii="Arial" w:hAnsi="Arial" w:cs="Arial"/>
        </w:rPr>
        <w:t xml:space="preserve"> Gobierno de la Ciudad Autónoma de Buenos Aires</w:t>
      </w:r>
    </w:p>
    <w:p w:rsidR="0099018A" w:rsidRPr="00CB3BD2" w:rsidRDefault="00EC7D44" w:rsidP="0099018A">
      <w:pPr>
        <w:jc w:val="both"/>
        <w:rPr>
          <w:rFonts w:ascii="Arial" w:hAnsi="Arial" w:cs="Arial"/>
        </w:rPr>
      </w:pPr>
      <w:hyperlink r:id="rId69" w:history="1">
        <w:r w:rsidR="0099018A" w:rsidRPr="00CB3BD2">
          <w:rPr>
            <w:rStyle w:val="Hipervnculo"/>
            <w:rFonts w:ascii="Arial" w:hAnsi="Arial" w:cs="Arial"/>
          </w:rPr>
          <w:t>http://www.buenosaires.gob.ar/economiayfinanzas/contaduria/informacion-contable/ejecuciones-presupuestarias</w:t>
        </w:r>
      </w:hyperlink>
    </w:p>
    <w:p w:rsidR="0099018A" w:rsidRPr="00CB3BD2" w:rsidRDefault="0099018A" w:rsidP="0099018A">
      <w:pPr>
        <w:jc w:val="both"/>
        <w:rPr>
          <w:rFonts w:ascii="Arial" w:hAnsi="Arial" w:cs="Arial"/>
        </w:rPr>
      </w:pPr>
      <w:r w:rsidRPr="00CB3BD2">
        <w:rPr>
          <w:rFonts w:ascii="Arial" w:hAnsi="Arial" w:cs="Arial"/>
        </w:rPr>
        <w:t xml:space="preserve">Cuenta de Inversión – Ejercicio 2017 – Gobierno </w:t>
      </w:r>
      <w:r w:rsidR="004E6464" w:rsidRPr="00CB3BD2">
        <w:rPr>
          <w:rFonts w:ascii="Arial" w:hAnsi="Arial" w:cs="Arial"/>
        </w:rPr>
        <w:t>de la P</w:t>
      </w:r>
      <w:r w:rsidRPr="00CB3BD2">
        <w:rPr>
          <w:rFonts w:ascii="Arial" w:hAnsi="Arial" w:cs="Arial"/>
        </w:rPr>
        <w:t>rovincia de Córdoba</w:t>
      </w:r>
    </w:p>
    <w:p w:rsidR="0099018A" w:rsidRPr="00CB3BD2" w:rsidRDefault="00EC7D44" w:rsidP="0099018A">
      <w:pPr>
        <w:jc w:val="both"/>
        <w:rPr>
          <w:rFonts w:ascii="Arial" w:hAnsi="Arial" w:cs="Arial"/>
        </w:rPr>
      </w:pPr>
      <w:hyperlink r:id="rId70" w:history="1">
        <w:r w:rsidR="0099018A" w:rsidRPr="00CB3BD2">
          <w:rPr>
            <w:rStyle w:val="Hipervnculo"/>
            <w:rFonts w:ascii="Arial" w:hAnsi="Arial" w:cs="Arial"/>
          </w:rPr>
          <w:t>http://multimedia.cba.gov.ar/web/Cuenta%20de%20Inversi%C3%B3n%202017.pdf</w:t>
        </w:r>
      </w:hyperlink>
    </w:p>
    <w:p w:rsidR="004E6464" w:rsidRPr="00CB3BD2" w:rsidRDefault="004E6464" w:rsidP="004E6464">
      <w:pPr>
        <w:jc w:val="both"/>
        <w:rPr>
          <w:rFonts w:ascii="Arial" w:hAnsi="Arial" w:cs="Arial"/>
        </w:rPr>
      </w:pPr>
      <w:r w:rsidRPr="00CB3BD2">
        <w:rPr>
          <w:rFonts w:ascii="Arial" w:hAnsi="Arial" w:cs="Arial"/>
        </w:rPr>
        <w:t>Cuenta de Inversión – Ejercicio 2017 – Gobierno de la Provincia de Corrientes</w:t>
      </w:r>
    </w:p>
    <w:p w:rsidR="004E6464" w:rsidRPr="00CB3BD2" w:rsidRDefault="00EC7D44" w:rsidP="004E6464">
      <w:pPr>
        <w:jc w:val="both"/>
        <w:rPr>
          <w:rFonts w:ascii="Arial" w:hAnsi="Arial" w:cs="Arial"/>
        </w:rPr>
      </w:pPr>
      <w:hyperlink r:id="rId71" w:history="1">
        <w:r w:rsidR="004E6464" w:rsidRPr="00CB3BD2">
          <w:rPr>
            <w:rStyle w:val="Hipervnculo"/>
            <w:rFonts w:ascii="Arial" w:hAnsi="Arial" w:cs="Arial"/>
          </w:rPr>
          <w:t>http://www.cgpcorrientes.gov.ar/archivos/CUENTA_DE_INVERSION_2017.pdf</w:t>
        </w:r>
      </w:hyperlink>
    </w:p>
    <w:p w:rsidR="004E6464" w:rsidRPr="00CB3BD2" w:rsidRDefault="004E6464" w:rsidP="004E6464">
      <w:pPr>
        <w:jc w:val="both"/>
        <w:rPr>
          <w:rFonts w:ascii="Arial" w:hAnsi="Arial" w:cs="Arial"/>
        </w:rPr>
      </w:pPr>
      <w:r w:rsidRPr="00CB3BD2">
        <w:rPr>
          <w:rFonts w:ascii="Arial" w:hAnsi="Arial" w:cs="Arial"/>
        </w:rPr>
        <w:t>Ejecución presupuestaria 2017 - Gobierno de la Provincia de Chubut</w:t>
      </w:r>
    </w:p>
    <w:p w:rsidR="004E6464" w:rsidRPr="00CB3BD2" w:rsidRDefault="00EC7D44" w:rsidP="004E6464">
      <w:pPr>
        <w:jc w:val="both"/>
        <w:rPr>
          <w:rFonts w:ascii="Arial" w:hAnsi="Arial" w:cs="Arial"/>
        </w:rPr>
      </w:pPr>
      <w:hyperlink r:id="rId72" w:history="1">
        <w:r w:rsidR="004E6464" w:rsidRPr="00CB3BD2">
          <w:rPr>
            <w:rStyle w:val="Hipervnculo"/>
            <w:rFonts w:ascii="Arial" w:hAnsi="Arial" w:cs="Arial"/>
          </w:rPr>
          <w:t>http://www.chubut.gov.ar/portal/wp-organismos/sgp/category/informacion-presupuestaria/2017/</w:t>
        </w:r>
      </w:hyperlink>
    </w:p>
    <w:p w:rsidR="004E6464" w:rsidRPr="00CB3BD2" w:rsidRDefault="004E6464" w:rsidP="004E6464">
      <w:pPr>
        <w:jc w:val="both"/>
        <w:rPr>
          <w:rFonts w:ascii="Arial" w:hAnsi="Arial" w:cs="Arial"/>
        </w:rPr>
      </w:pPr>
      <w:r w:rsidRPr="00CB3BD2">
        <w:rPr>
          <w:rFonts w:ascii="Arial" w:hAnsi="Arial" w:cs="Arial"/>
        </w:rPr>
        <w:t>Ejecución presupuestaria 2017 - Gobierno de la Provincia de Entre Ríos</w:t>
      </w:r>
    </w:p>
    <w:p w:rsidR="004E6464" w:rsidRPr="00CB3BD2" w:rsidRDefault="00EC7D44" w:rsidP="004E6464">
      <w:pPr>
        <w:jc w:val="both"/>
        <w:rPr>
          <w:rFonts w:ascii="Arial" w:hAnsi="Arial" w:cs="Arial"/>
        </w:rPr>
      </w:pPr>
      <w:hyperlink r:id="rId73" w:history="1">
        <w:r w:rsidR="004E6464" w:rsidRPr="00CB3BD2">
          <w:rPr>
            <w:rStyle w:val="Hipervnculo"/>
            <w:rFonts w:ascii="Arial" w:hAnsi="Arial" w:cs="Arial"/>
          </w:rPr>
          <w:t>https://www.entrerios.gov.ar/contaduria/index.php?codigo=20&amp;item=pagina_textos&amp;menu=menu&amp;modulo=&amp;accion</w:t>
        </w:r>
      </w:hyperlink>
    </w:p>
    <w:p w:rsidR="004E6464" w:rsidRPr="00CB3BD2" w:rsidRDefault="004E6464" w:rsidP="004E6464">
      <w:pPr>
        <w:jc w:val="both"/>
        <w:rPr>
          <w:rFonts w:ascii="Arial" w:hAnsi="Arial" w:cs="Arial"/>
        </w:rPr>
      </w:pPr>
      <w:r w:rsidRPr="00CB3BD2">
        <w:rPr>
          <w:rFonts w:ascii="Arial" w:hAnsi="Arial" w:cs="Arial"/>
        </w:rPr>
        <w:t>Ejecución presupuestaria 2017 - Gobierno de la Provincia de Jujuy</w:t>
      </w:r>
    </w:p>
    <w:p w:rsidR="004E6464" w:rsidRPr="00CB3BD2" w:rsidRDefault="00EC7D44" w:rsidP="0099018A">
      <w:pPr>
        <w:jc w:val="both"/>
        <w:rPr>
          <w:rFonts w:ascii="Arial" w:hAnsi="Arial" w:cs="Arial"/>
        </w:rPr>
      </w:pPr>
      <w:hyperlink r:id="rId74" w:history="1">
        <w:r w:rsidR="004E6464" w:rsidRPr="00CB3BD2">
          <w:rPr>
            <w:rStyle w:val="Hipervnculo"/>
            <w:rFonts w:ascii="Arial" w:hAnsi="Arial" w:cs="Arial"/>
          </w:rPr>
          <w:t>http://hacienda.jujuy.gob.ar/ejecucion-presupuestaria-ano-2017/#1486401287655-04a0e056-5588</w:t>
        </w:r>
      </w:hyperlink>
    </w:p>
    <w:p w:rsidR="004E6464" w:rsidRPr="00CB3BD2" w:rsidRDefault="004E6464" w:rsidP="004E6464">
      <w:pPr>
        <w:jc w:val="both"/>
        <w:rPr>
          <w:rStyle w:val="Hipervnculo"/>
          <w:rFonts w:ascii="Arial" w:hAnsi="Arial" w:cs="Arial"/>
          <w:color w:val="auto"/>
          <w:u w:val="none"/>
        </w:rPr>
      </w:pPr>
      <w:r w:rsidRPr="00CB3BD2">
        <w:rPr>
          <w:rFonts w:ascii="Arial" w:hAnsi="Arial" w:cs="Arial"/>
        </w:rPr>
        <w:t>Ejecución presupuestaria al tercer trimestre de 2017 - Gobierno de la Provincia de La Pampa</w:t>
      </w:r>
    </w:p>
    <w:p w:rsidR="004E6464" w:rsidRPr="00CB3BD2" w:rsidRDefault="00EC7D44" w:rsidP="004E6464">
      <w:pPr>
        <w:jc w:val="both"/>
        <w:rPr>
          <w:rStyle w:val="Hipervnculo"/>
          <w:rFonts w:ascii="Arial" w:hAnsi="Arial" w:cs="Arial"/>
        </w:rPr>
      </w:pPr>
      <w:hyperlink r:id="rId75" w:history="1">
        <w:r w:rsidR="004E6464" w:rsidRPr="00CB3BD2">
          <w:rPr>
            <w:rStyle w:val="Hipervnculo"/>
            <w:rFonts w:ascii="Arial" w:hAnsi="Arial" w:cs="Arial"/>
          </w:rPr>
          <w:t>http://www.contaduriageneral.lapampa.gob.ar/ano-2017.html</w:t>
        </w:r>
      </w:hyperlink>
    </w:p>
    <w:p w:rsidR="004E6464" w:rsidRPr="00CB3BD2" w:rsidRDefault="004E6464" w:rsidP="004E6464">
      <w:pPr>
        <w:jc w:val="both"/>
        <w:rPr>
          <w:rStyle w:val="Hipervnculo"/>
          <w:rFonts w:ascii="Arial" w:hAnsi="Arial" w:cs="Arial"/>
          <w:color w:val="auto"/>
          <w:u w:val="none"/>
        </w:rPr>
      </w:pPr>
      <w:r w:rsidRPr="00CB3BD2">
        <w:rPr>
          <w:rFonts w:ascii="Arial" w:hAnsi="Arial" w:cs="Arial"/>
        </w:rPr>
        <w:t>Ejecución presupuestaria 2017 - Gobierno de la Provincia de La Rioja</w:t>
      </w:r>
    </w:p>
    <w:p w:rsidR="004E6464" w:rsidRPr="00CB3BD2" w:rsidRDefault="00EC7D44" w:rsidP="004E6464">
      <w:pPr>
        <w:jc w:val="both"/>
        <w:rPr>
          <w:rStyle w:val="Hipervnculo"/>
          <w:rFonts w:ascii="Arial" w:hAnsi="Arial" w:cs="Arial"/>
        </w:rPr>
      </w:pPr>
      <w:hyperlink r:id="rId76" w:history="1">
        <w:r w:rsidR="004E6464" w:rsidRPr="00CB3BD2">
          <w:rPr>
            <w:rStyle w:val="Hipervnculo"/>
            <w:rFonts w:ascii="Arial" w:hAnsi="Arial" w:cs="Arial"/>
          </w:rPr>
          <w:t>https://www.larioja.gov.ar/index.php/component/content/article/86-ministerios/102-ley-de-responsabilidad-fiscal?Itemid=437</w:t>
        </w:r>
      </w:hyperlink>
    </w:p>
    <w:p w:rsidR="004E6464" w:rsidRPr="00CB3BD2" w:rsidRDefault="004E6464" w:rsidP="004E6464">
      <w:pPr>
        <w:jc w:val="both"/>
        <w:rPr>
          <w:rStyle w:val="Hipervnculo"/>
          <w:rFonts w:ascii="Arial" w:hAnsi="Arial" w:cs="Arial"/>
          <w:color w:val="auto"/>
          <w:u w:val="none"/>
        </w:rPr>
      </w:pPr>
      <w:r w:rsidRPr="00CB3BD2">
        <w:rPr>
          <w:rFonts w:ascii="Arial" w:hAnsi="Arial" w:cs="Arial"/>
        </w:rPr>
        <w:t>Ejecución presupuestaria 2017 - Gobierno de la Provincia de Mendoza</w:t>
      </w:r>
    </w:p>
    <w:p w:rsidR="004E6464" w:rsidRPr="00CB3BD2" w:rsidRDefault="00EC7D44" w:rsidP="004E6464">
      <w:pPr>
        <w:jc w:val="both"/>
        <w:rPr>
          <w:rStyle w:val="Hipervnculo"/>
          <w:rFonts w:ascii="Arial" w:hAnsi="Arial" w:cs="Arial"/>
        </w:rPr>
      </w:pPr>
      <w:hyperlink r:id="rId77" w:history="1">
        <w:r w:rsidR="004E6464" w:rsidRPr="00CB3BD2">
          <w:rPr>
            <w:rStyle w:val="Hipervnculo"/>
            <w:rFonts w:ascii="Arial" w:hAnsi="Arial" w:cs="Arial"/>
          </w:rPr>
          <w:t>http://www.hacienda.mendoza.gov.ar/ejec_pres/</w:t>
        </w:r>
      </w:hyperlink>
    </w:p>
    <w:p w:rsidR="004E6464" w:rsidRPr="00CB3BD2" w:rsidRDefault="004E6464" w:rsidP="004E6464">
      <w:pPr>
        <w:jc w:val="both"/>
        <w:rPr>
          <w:rStyle w:val="Hipervnculo"/>
          <w:rFonts w:ascii="Arial" w:hAnsi="Arial" w:cs="Arial"/>
          <w:color w:val="auto"/>
          <w:u w:val="none"/>
        </w:rPr>
      </w:pPr>
      <w:r w:rsidRPr="00CB3BD2">
        <w:rPr>
          <w:rFonts w:ascii="Arial" w:hAnsi="Arial" w:cs="Arial"/>
        </w:rPr>
        <w:t>Ejecución presupuestaria 2017 - Gobierno de la Provincia de Misiones</w:t>
      </w:r>
    </w:p>
    <w:p w:rsidR="004E6464" w:rsidRPr="00CB3BD2" w:rsidRDefault="00EC7D44" w:rsidP="004E6464">
      <w:pPr>
        <w:jc w:val="both"/>
        <w:rPr>
          <w:rStyle w:val="Hipervnculo"/>
          <w:rFonts w:ascii="Arial" w:hAnsi="Arial" w:cs="Arial"/>
        </w:rPr>
      </w:pPr>
      <w:hyperlink r:id="rId78" w:history="1">
        <w:r w:rsidR="004E6464" w:rsidRPr="00CB3BD2">
          <w:rPr>
            <w:rStyle w:val="Hipervnculo"/>
            <w:rFonts w:ascii="Arial" w:hAnsi="Arial" w:cs="Arial"/>
          </w:rPr>
          <w:t>http://hacienda.gov.ar/index.php/ejecucion-presupuestaria/aif/</w:t>
        </w:r>
      </w:hyperlink>
    </w:p>
    <w:p w:rsidR="004E6464" w:rsidRPr="00CB3BD2" w:rsidRDefault="004E6464" w:rsidP="004E6464">
      <w:pPr>
        <w:jc w:val="both"/>
        <w:rPr>
          <w:rStyle w:val="Hipervnculo"/>
          <w:rFonts w:ascii="Arial" w:hAnsi="Arial" w:cs="Arial"/>
          <w:color w:val="auto"/>
          <w:u w:val="none"/>
        </w:rPr>
      </w:pPr>
      <w:r w:rsidRPr="00CB3BD2">
        <w:rPr>
          <w:rFonts w:ascii="Arial" w:hAnsi="Arial" w:cs="Arial"/>
        </w:rPr>
        <w:t>Ejecución presupuestaria 2017 - Gobierno de la Provincia de Río Negro</w:t>
      </w:r>
    </w:p>
    <w:p w:rsidR="004E6464" w:rsidRPr="00CB3BD2" w:rsidRDefault="00EC7D44" w:rsidP="004E6464">
      <w:pPr>
        <w:jc w:val="both"/>
        <w:rPr>
          <w:rStyle w:val="Hipervnculo"/>
          <w:rFonts w:ascii="Arial" w:hAnsi="Arial" w:cs="Arial"/>
        </w:rPr>
      </w:pPr>
      <w:hyperlink r:id="rId79" w:history="1">
        <w:r w:rsidR="004E6464" w:rsidRPr="00CB3BD2">
          <w:rPr>
            <w:rStyle w:val="Hipervnculo"/>
            <w:rFonts w:ascii="Arial" w:hAnsi="Arial" w:cs="Arial"/>
          </w:rPr>
          <w:t>https://www.rionegro.gov.ar/?contID=41007</w:t>
        </w:r>
      </w:hyperlink>
    </w:p>
    <w:p w:rsidR="004E6464" w:rsidRPr="00CB3BD2" w:rsidRDefault="004E6464" w:rsidP="004E6464">
      <w:pPr>
        <w:jc w:val="both"/>
        <w:rPr>
          <w:rStyle w:val="Hipervnculo"/>
          <w:rFonts w:ascii="Arial" w:hAnsi="Arial" w:cs="Arial"/>
        </w:rPr>
      </w:pPr>
      <w:r w:rsidRPr="00CB3BD2">
        <w:rPr>
          <w:rFonts w:ascii="Arial" w:hAnsi="Arial" w:cs="Arial"/>
        </w:rPr>
        <w:t>Ejecución presupuestaria 2017 - Gobierno de la Provincia de Salta</w:t>
      </w:r>
    </w:p>
    <w:p w:rsidR="004E6464" w:rsidRPr="00CB3BD2" w:rsidRDefault="00EC7D44" w:rsidP="004E6464">
      <w:pPr>
        <w:jc w:val="both"/>
        <w:rPr>
          <w:rStyle w:val="Hipervnculo"/>
          <w:rFonts w:ascii="Arial" w:hAnsi="Arial" w:cs="Arial"/>
        </w:rPr>
      </w:pPr>
      <w:hyperlink r:id="rId80" w:history="1">
        <w:r w:rsidR="004E6464" w:rsidRPr="00CB3BD2">
          <w:rPr>
            <w:rStyle w:val="Hipervnculo"/>
            <w:rFonts w:ascii="Arial" w:hAnsi="Arial" w:cs="Arial"/>
          </w:rPr>
          <w:t>http://presupuesto.salta.gov.ar/</w:t>
        </w:r>
      </w:hyperlink>
    </w:p>
    <w:p w:rsidR="004E6464" w:rsidRPr="00CB3BD2" w:rsidRDefault="004E6464" w:rsidP="004E6464">
      <w:pPr>
        <w:jc w:val="both"/>
        <w:rPr>
          <w:rStyle w:val="Hipervnculo"/>
          <w:rFonts w:ascii="Arial" w:hAnsi="Arial" w:cs="Arial"/>
        </w:rPr>
      </w:pPr>
      <w:r w:rsidRPr="00CB3BD2">
        <w:rPr>
          <w:rFonts w:ascii="Arial" w:hAnsi="Arial" w:cs="Arial"/>
        </w:rPr>
        <w:t>Ejecución presupuestaria 2017 - Gobierno de la Provincia de San Juan</w:t>
      </w:r>
    </w:p>
    <w:p w:rsidR="004E6464" w:rsidRPr="0003170B" w:rsidRDefault="00EC7D44" w:rsidP="004E6464">
      <w:pPr>
        <w:jc w:val="both"/>
        <w:rPr>
          <w:rFonts w:ascii="Arial" w:hAnsi="Arial" w:cs="Arial"/>
          <w:color w:val="0000FF" w:themeColor="hyperlink"/>
          <w:u w:val="single"/>
        </w:rPr>
      </w:pPr>
      <w:hyperlink r:id="rId81" w:history="1">
        <w:r w:rsidR="004E6464" w:rsidRPr="00CB3BD2">
          <w:rPr>
            <w:rStyle w:val="Hipervnculo"/>
            <w:rFonts w:ascii="Arial" w:hAnsi="Arial" w:cs="Arial"/>
          </w:rPr>
          <w:t>https://hacienda.sanjuan.gob.ar/ejecucion/ahorro_2017.php</w:t>
        </w:r>
      </w:hyperlink>
    </w:p>
    <w:p w:rsidR="004E6464" w:rsidRPr="00CB3BD2" w:rsidRDefault="004E6464" w:rsidP="004E6464">
      <w:pPr>
        <w:jc w:val="both"/>
        <w:rPr>
          <w:rStyle w:val="Hipervnculo"/>
          <w:rFonts w:ascii="Arial" w:hAnsi="Arial" w:cs="Arial"/>
        </w:rPr>
      </w:pPr>
      <w:r w:rsidRPr="00CB3BD2">
        <w:rPr>
          <w:rFonts w:ascii="Arial" w:hAnsi="Arial" w:cs="Arial"/>
        </w:rPr>
        <w:t>Ejecución presupuestaria 2017 - Gobierno de la Provincia de Santa Cruz</w:t>
      </w:r>
    </w:p>
    <w:p w:rsidR="004E6464" w:rsidRPr="00CB3BD2" w:rsidRDefault="00EC7D44" w:rsidP="004E6464">
      <w:pPr>
        <w:jc w:val="both"/>
        <w:rPr>
          <w:rStyle w:val="Hipervnculo"/>
          <w:rFonts w:ascii="Arial" w:hAnsi="Arial" w:cs="Arial"/>
        </w:rPr>
      </w:pPr>
      <w:hyperlink r:id="rId82" w:anchor="prettyPhoto" w:history="1">
        <w:r w:rsidR="004E6464" w:rsidRPr="00CB3BD2">
          <w:rPr>
            <w:rStyle w:val="Hipervnculo"/>
            <w:rFonts w:ascii="Arial" w:hAnsi="Arial" w:cs="Arial"/>
          </w:rPr>
          <w:t>http://www.santacruz.gob.ar/informacion-presupuestaria/#prettyPhoto</w:t>
        </w:r>
      </w:hyperlink>
    </w:p>
    <w:p w:rsidR="004E6464" w:rsidRPr="00CB3BD2" w:rsidRDefault="004E6464" w:rsidP="004E6464">
      <w:pPr>
        <w:jc w:val="both"/>
        <w:rPr>
          <w:rStyle w:val="Hipervnculo"/>
          <w:rFonts w:ascii="Arial" w:hAnsi="Arial" w:cs="Arial"/>
        </w:rPr>
      </w:pPr>
      <w:r w:rsidRPr="00CB3BD2">
        <w:rPr>
          <w:rFonts w:ascii="Arial" w:hAnsi="Arial" w:cs="Arial"/>
        </w:rPr>
        <w:t>Ejecución presupuestaria 2017 - Gobierno de la Provincia de Santa Fe</w:t>
      </w:r>
    </w:p>
    <w:p w:rsidR="004E6464" w:rsidRPr="00CB3BD2" w:rsidRDefault="00EC7D44" w:rsidP="004E6464">
      <w:pPr>
        <w:jc w:val="both"/>
        <w:rPr>
          <w:rStyle w:val="Hipervnculo"/>
          <w:rFonts w:ascii="Arial" w:hAnsi="Arial" w:cs="Arial"/>
        </w:rPr>
      </w:pPr>
      <w:hyperlink r:id="rId83" w:history="1">
        <w:r w:rsidR="004E6464" w:rsidRPr="00CB3BD2">
          <w:rPr>
            <w:rStyle w:val="Hipervnculo"/>
            <w:rFonts w:ascii="Arial" w:hAnsi="Arial" w:cs="Arial"/>
          </w:rPr>
          <w:t>http://www.santafe.gov.ar/index.php/web/content/view/full/211944/(subtema)/116436</w:t>
        </w:r>
      </w:hyperlink>
    </w:p>
    <w:p w:rsidR="004E6464" w:rsidRPr="00CB3BD2" w:rsidRDefault="004E6464" w:rsidP="004E6464">
      <w:pPr>
        <w:jc w:val="both"/>
        <w:rPr>
          <w:rStyle w:val="Hipervnculo"/>
          <w:rFonts w:ascii="Arial" w:hAnsi="Arial" w:cs="Arial"/>
        </w:rPr>
      </w:pPr>
      <w:r w:rsidRPr="00CB3BD2">
        <w:rPr>
          <w:rFonts w:ascii="Arial" w:hAnsi="Arial" w:cs="Arial"/>
        </w:rPr>
        <w:t>Ejecución presupuestaria 2017 - Gobierno de la Provincia de Tierra del Fuego</w:t>
      </w:r>
    </w:p>
    <w:p w:rsidR="004E6464" w:rsidRPr="00CB3BD2" w:rsidRDefault="004E6464" w:rsidP="004E6464">
      <w:pPr>
        <w:jc w:val="both"/>
        <w:rPr>
          <w:rStyle w:val="Hipervnculo"/>
          <w:rFonts w:ascii="Arial" w:hAnsi="Arial" w:cs="Arial"/>
        </w:rPr>
      </w:pPr>
      <w:r w:rsidRPr="00CB3BD2">
        <w:rPr>
          <w:rStyle w:val="Hipervnculo"/>
          <w:rFonts w:ascii="Arial" w:hAnsi="Arial" w:cs="Arial"/>
        </w:rPr>
        <w:t>https://gestiontransparente.tierradelfuego.gob.ar/?page_id=743</w:t>
      </w:r>
    </w:p>
    <w:p w:rsidR="004E6464" w:rsidRPr="004E6464" w:rsidRDefault="004E6464" w:rsidP="0099018A">
      <w:pPr>
        <w:jc w:val="both"/>
        <w:rPr>
          <w:rStyle w:val="Hipervnculo"/>
        </w:rPr>
      </w:pPr>
    </w:p>
    <w:sectPr w:rsidR="004E6464" w:rsidRPr="004E6464" w:rsidSect="009F65A6">
      <w:footerReference w:type="default" r:id="rId84"/>
      <w:pgSz w:w="11906" w:h="16838"/>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44" w:rsidRDefault="00EC7D44" w:rsidP="00247C9B">
      <w:pPr>
        <w:spacing w:after="0" w:line="240" w:lineRule="auto"/>
      </w:pPr>
      <w:r>
        <w:separator/>
      </w:r>
    </w:p>
  </w:endnote>
  <w:endnote w:type="continuationSeparator" w:id="0">
    <w:p w:rsidR="00EC7D44" w:rsidRDefault="00EC7D44" w:rsidP="0024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09407"/>
      <w:docPartObj>
        <w:docPartGallery w:val="Page Numbers (Bottom of Page)"/>
        <w:docPartUnique/>
      </w:docPartObj>
    </w:sdtPr>
    <w:sdtEndPr/>
    <w:sdtContent>
      <w:p w:rsidR="00D26DAD" w:rsidRDefault="00D26DAD">
        <w:pPr>
          <w:pStyle w:val="Piedepgina"/>
          <w:jc w:val="right"/>
        </w:pPr>
        <w:r>
          <w:fldChar w:fldCharType="begin"/>
        </w:r>
        <w:r>
          <w:instrText xml:space="preserve"> PAGE   \* MERGEFORMAT </w:instrText>
        </w:r>
        <w:r>
          <w:fldChar w:fldCharType="separate"/>
        </w:r>
        <w:r w:rsidR="00540261">
          <w:rPr>
            <w:noProof/>
          </w:rPr>
          <w:t>- 8 -</w:t>
        </w:r>
        <w:r>
          <w:rPr>
            <w:noProof/>
          </w:rPr>
          <w:fldChar w:fldCharType="end"/>
        </w:r>
      </w:p>
    </w:sdtContent>
  </w:sdt>
  <w:p w:rsidR="00D26DAD" w:rsidRDefault="00D26D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44" w:rsidRDefault="00EC7D44" w:rsidP="00247C9B">
      <w:pPr>
        <w:spacing w:after="0" w:line="240" w:lineRule="auto"/>
      </w:pPr>
      <w:r>
        <w:separator/>
      </w:r>
    </w:p>
  </w:footnote>
  <w:footnote w:type="continuationSeparator" w:id="0">
    <w:p w:rsidR="00EC7D44" w:rsidRDefault="00EC7D44" w:rsidP="00247C9B">
      <w:pPr>
        <w:spacing w:after="0" w:line="240" w:lineRule="auto"/>
      </w:pPr>
      <w:r>
        <w:continuationSeparator/>
      </w:r>
    </w:p>
  </w:footnote>
  <w:footnote w:id="1">
    <w:p w:rsidR="00D26DAD" w:rsidRPr="0089479B" w:rsidRDefault="00D26DAD">
      <w:pPr>
        <w:pStyle w:val="Textonotapie"/>
        <w:rPr>
          <w:rFonts w:ascii="Arial" w:hAnsi="Arial" w:cs="Arial"/>
          <w:lang w:val="es-AR"/>
        </w:rPr>
      </w:pPr>
      <w:r w:rsidRPr="0089479B">
        <w:rPr>
          <w:rStyle w:val="Refdenotaalpie"/>
          <w:rFonts w:ascii="Arial" w:hAnsi="Arial" w:cs="Arial"/>
        </w:rPr>
        <w:footnoteRef/>
      </w:r>
      <w:r w:rsidRPr="0089479B">
        <w:rPr>
          <w:rFonts w:ascii="Arial" w:hAnsi="Arial" w:cs="Arial"/>
          <w:lang w:val="es-AR"/>
        </w:rPr>
        <w:t>Tr</w:t>
      </w:r>
      <w:r w:rsidR="00C0704A">
        <w:rPr>
          <w:rFonts w:ascii="Arial" w:hAnsi="Arial" w:cs="Arial"/>
          <w:lang w:val="es-AR"/>
        </w:rPr>
        <w:t>abajo a ser presentado en las 51</w:t>
      </w:r>
      <w:r w:rsidRPr="0089479B">
        <w:rPr>
          <w:rFonts w:ascii="Arial" w:hAnsi="Arial" w:cs="Arial"/>
          <w:lang w:val="es-AR"/>
        </w:rPr>
        <w:t>° Jornadas Internacionales de Finanzas Públicas</w:t>
      </w:r>
      <w:r>
        <w:rPr>
          <w:rFonts w:ascii="Arial" w:hAnsi="Arial" w:cs="Arial"/>
          <w:lang w:val="es-AR"/>
        </w:rPr>
        <w:t xml:space="preserve">. </w:t>
      </w:r>
    </w:p>
  </w:footnote>
  <w:footnote w:id="2">
    <w:p w:rsidR="00D26DAD" w:rsidRPr="001D460F" w:rsidRDefault="00D26DAD">
      <w:pPr>
        <w:pStyle w:val="Textonotapie"/>
        <w:rPr>
          <w:rFonts w:ascii="Arial" w:hAnsi="Arial" w:cs="Arial"/>
          <w:lang w:val="en-US"/>
        </w:rPr>
      </w:pPr>
      <w:r w:rsidRPr="00746F68">
        <w:rPr>
          <w:rStyle w:val="Refdenotaalpie"/>
          <w:rFonts w:ascii="Arial" w:hAnsi="Arial" w:cs="Arial"/>
        </w:rPr>
        <w:footnoteRef/>
      </w:r>
      <w:r w:rsidRPr="001D460F">
        <w:rPr>
          <w:rFonts w:ascii="Arial" w:hAnsi="Arial" w:cs="Arial"/>
          <w:lang w:val="en-US"/>
        </w:rPr>
        <w:t xml:space="preserve">IERAL – FCE (UNC). </w:t>
      </w:r>
      <w:r w:rsidRPr="001D460F">
        <w:rPr>
          <w:rFonts w:ascii="Arial" w:hAnsi="Arial" w:cs="Arial"/>
          <w:b/>
          <w:lang w:val="en-US"/>
        </w:rPr>
        <w:t>Contacto:</w:t>
      </w:r>
      <w:hyperlink r:id="rId1" w:history="1">
        <w:r w:rsidRPr="001D460F">
          <w:rPr>
            <w:rStyle w:val="Hipervnculo"/>
            <w:rFonts w:ascii="Arial" w:hAnsi="Arial" w:cs="Arial"/>
            <w:lang w:val="en-US"/>
          </w:rPr>
          <w:t>marcapello@gmail.com</w:t>
        </w:r>
      </w:hyperlink>
    </w:p>
  </w:footnote>
  <w:footnote w:id="3">
    <w:p w:rsidR="00D26DAD" w:rsidRPr="00746F68" w:rsidRDefault="00D26DAD">
      <w:pPr>
        <w:pStyle w:val="Textonotapie"/>
        <w:rPr>
          <w:rFonts w:ascii="Arial" w:hAnsi="Arial" w:cs="Arial"/>
          <w:lang w:val="es-AR"/>
        </w:rPr>
      </w:pPr>
      <w:r w:rsidRPr="00746F68">
        <w:rPr>
          <w:rStyle w:val="Refdenotaalpie"/>
          <w:rFonts w:ascii="Arial" w:hAnsi="Arial" w:cs="Arial"/>
        </w:rPr>
        <w:footnoteRef/>
      </w:r>
      <w:r w:rsidRPr="001D460F">
        <w:rPr>
          <w:rFonts w:ascii="Arial" w:hAnsi="Arial" w:cs="Arial"/>
          <w:lang w:val="en-US"/>
        </w:rPr>
        <w:t xml:space="preserve">IERAL –IEF (UNC) – FCE (UNC). </w:t>
      </w:r>
      <w:r w:rsidRPr="00746F68">
        <w:rPr>
          <w:rFonts w:ascii="Arial" w:hAnsi="Arial" w:cs="Arial"/>
          <w:b/>
          <w:lang w:val="es-AR"/>
        </w:rPr>
        <w:t>Contacto</w:t>
      </w:r>
      <w:r w:rsidRPr="00746F68">
        <w:rPr>
          <w:rFonts w:ascii="Arial" w:hAnsi="Arial" w:cs="Arial"/>
          <w:lang w:val="es-AR"/>
        </w:rPr>
        <w:t xml:space="preserve">: </w:t>
      </w:r>
      <w:hyperlink r:id="rId2" w:history="1">
        <w:r w:rsidRPr="00746F68">
          <w:rPr>
            <w:rStyle w:val="Hipervnculo"/>
            <w:rFonts w:ascii="Arial" w:hAnsi="Arial" w:cs="Arial"/>
            <w:lang w:val="es-AR"/>
          </w:rPr>
          <w:t>luciaviglesias@gmail.com</w:t>
        </w:r>
      </w:hyperlink>
    </w:p>
  </w:footnote>
  <w:footnote w:id="4">
    <w:p w:rsidR="00D26DAD" w:rsidRDefault="00D26DAD">
      <w:pPr>
        <w:pStyle w:val="Textonotapie"/>
        <w:rPr>
          <w:rStyle w:val="Hipervnculo"/>
          <w:rFonts w:ascii="Arial" w:hAnsi="Arial" w:cs="Arial"/>
          <w:lang w:val="es-AR"/>
        </w:rPr>
      </w:pPr>
      <w:r w:rsidRPr="00746F68">
        <w:rPr>
          <w:rStyle w:val="Refdenotaalpie"/>
          <w:rFonts w:ascii="Arial" w:hAnsi="Arial" w:cs="Arial"/>
        </w:rPr>
        <w:footnoteRef/>
      </w:r>
      <w:r w:rsidRPr="00746F68">
        <w:rPr>
          <w:rFonts w:ascii="Arial" w:hAnsi="Arial" w:cs="Arial"/>
          <w:lang w:val="es-AR"/>
        </w:rPr>
        <w:t xml:space="preserve">IERAL – FCE (UNC). </w:t>
      </w:r>
      <w:r w:rsidRPr="00746F68">
        <w:rPr>
          <w:rFonts w:ascii="Arial" w:hAnsi="Arial" w:cs="Arial"/>
          <w:b/>
          <w:lang w:val="es-AR"/>
        </w:rPr>
        <w:t>Contacto:</w:t>
      </w:r>
      <w:hyperlink r:id="rId3" w:history="1">
        <w:r w:rsidRPr="00746F68">
          <w:rPr>
            <w:rStyle w:val="Hipervnculo"/>
            <w:rFonts w:ascii="Arial" w:hAnsi="Arial" w:cs="Arial"/>
            <w:lang w:val="es-AR"/>
          </w:rPr>
          <w:t>luislaguinge4@gmail.com</w:t>
        </w:r>
      </w:hyperlink>
    </w:p>
    <w:p w:rsidR="009F65A6" w:rsidRDefault="009F65A6">
      <w:pPr>
        <w:pStyle w:val="Textonotapie"/>
        <w:rPr>
          <w:b/>
        </w:rPr>
      </w:pPr>
    </w:p>
    <w:p w:rsidR="009F65A6" w:rsidRPr="009F65A6" w:rsidRDefault="009F65A6" w:rsidP="009F65A6">
      <w:pPr>
        <w:shd w:val="clear" w:color="auto" w:fill="FFFFFF"/>
        <w:spacing w:after="0" w:line="240" w:lineRule="auto"/>
        <w:rPr>
          <w:rFonts w:ascii="Arial" w:hAnsi="Arial" w:cs="Arial"/>
          <w:sz w:val="20"/>
          <w:szCs w:val="20"/>
          <w:lang w:val="es-AR"/>
        </w:rPr>
      </w:pPr>
      <w:r w:rsidRPr="009F65A6">
        <w:rPr>
          <w:rFonts w:ascii="Arial" w:hAnsi="Arial" w:cs="Arial"/>
          <w:b/>
          <w:sz w:val="20"/>
          <w:szCs w:val="20"/>
          <w:lang w:val="es-AR"/>
        </w:rPr>
        <w:t>Teléfonos:</w:t>
      </w:r>
      <w:r w:rsidRPr="009F65A6">
        <w:rPr>
          <w:rFonts w:ascii="Arial" w:hAnsi="Arial" w:cs="Arial"/>
          <w:sz w:val="20"/>
          <w:szCs w:val="20"/>
          <w:lang w:val="es-AR"/>
        </w:rPr>
        <w:t xml:space="preserve"> (0351) 472-6523 / 472-6525 / 473-6326 / 472-3425</w:t>
      </w:r>
    </w:p>
    <w:p w:rsidR="009F65A6" w:rsidRPr="009F65A6" w:rsidRDefault="009F65A6" w:rsidP="009F65A6">
      <w:pPr>
        <w:shd w:val="clear" w:color="auto" w:fill="FFFFFF"/>
        <w:spacing w:after="0" w:line="240" w:lineRule="auto"/>
        <w:rPr>
          <w:rFonts w:ascii="Arial" w:hAnsi="Arial" w:cs="Arial"/>
          <w:sz w:val="20"/>
          <w:szCs w:val="20"/>
          <w:lang w:val="es-AR"/>
        </w:rPr>
      </w:pPr>
      <w:r w:rsidRPr="009F65A6">
        <w:rPr>
          <w:rFonts w:ascii="Arial" w:hAnsi="Arial" w:cs="Arial"/>
          <w:b/>
          <w:sz w:val="20"/>
          <w:szCs w:val="20"/>
          <w:lang w:val="es-AR"/>
        </w:rPr>
        <w:t>Fax:</w:t>
      </w:r>
      <w:r w:rsidRPr="009F65A6">
        <w:rPr>
          <w:rFonts w:ascii="Arial" w:hAnsi="Arial" w:cs="Arial"/>
          <w:sz w:val="20"/>
          <w:szCs w:val="20"/>
          <w:lang w:val="es-AR"/>
        </w:rPr>
        <w:t xml:space="preserve"> (0351) 472-4625</w:t>
      </w:r>
    </w:p>
    <w:p w:rsidR="009F65A6" w:rsidRPr="00E17B75" w:rsidRDefault="00E17B75">
      <w:pPr>
        <w:pStyle w:val="Textonotapie"/>
        <w:rPr>
          <w:rFonts w:ascii="Arial" w:hAnsi="Arial" w:cs="Arial"/>
          <w:lang w:val="es-AR"/>
        </w:rPr>
      </w:pPr>
      <w:r w:rsidRPr="00E17B75">
        <w:rPr>
          <w:rFonts w:ascii="Arial" w:hAnsi="Arial" w:cs="Arial"/>
          <w:b/>
          <w:lang w:val="es-AR"/>
        </w:rPr>
        <w:t xml:space="preserve">Dirección: </w:t>
      </w:r>
      <w:r w:rsidRPr="00E17B75">
        <w:rPr>
          <w:rFonts w:ascii="Arial" w:hAnsi="Arial" w:cs="Arial"/>
          <w:lang w:val="es-AR"/>
        </w:rPr>
        <w:t>Ju</w:t>
      </w:r>
      <w:r>
        <w:rPr>
          <w:rFonts w:ascii="Arial" w:hAnsi="Arial" w:cs="Arial"/>
          <w:lang w:val="es-AR"/>
        </w:rPr>
        <w:t xml:space="preserve">an del Campillo 394, Córdoba, Argentina. </w:t>
      </w:r>
      <w:r>
        <w:rPr>
          <w:rFonts w:ascii="Arial" w:hAnsi="Arial" w:cs="Arial"/>
          <w:b/>
          <w:lang w:val="es-AR"/>
        </w:rPr>
        <w:t xml:space="preserve">Código postal: </w:t>
      </w:r>
      <w:r>
        <w:rPr>
          <w:rFonts w:ascii="Arial" w:hAnsi="Arial" w:cs="Arial"/>
          <w:lang w:val="es-AR"/>
        </w:rPr>
        <w:t>X5000GTH</w:t>
      </w:r>
    </w:p>
  </w:footnote>
  <w:footnote w:id="5">
    <w:p w:rsidR="00D26DAD" w:rsidRPr="003E07B0" w:rsidRDefault="00D26DAD" w:rsidP="00A46662">
      <w:pPr>
        <w:rPr>
          <w:rFonts w:ascii="Arial" w:hAnsi="Arial" w:cs="Arial"/>
          <w:lang w:val="en-US"/>
        </w:rPr>
      </w:pPr>
      <w:r w:rsidRPr="003E07B0">
        <w:rPr>
          <w:rStyle w:val="Refdenotaalpie"/>
          <w:rFonts w:ascii="Arial" w:hAnsi="Arial" w:cs="Arial"/>
        </w:rPr>
        <w:footnoteRef/>
      </w:r>
      <w:r w:rsidRPr="003E07B0">
        <w:rPr>
          <w:rFonts w:ascii="Arial" w:hAnsi="Arial" w:cs="Arial"/>
          <w:sz w:val="20"/>
          <w:szCs w:val="20"/>
        </w:rPr>
        <w:t xml:space="preserve">Hemming, R. y Petri, M. (2000). </w:t>
      </w:r>
      <w:r w:rsidRPr="003E07B0">
        <w:rPr>
          <w:rFonts w:ascii="Arial" w:hAnsi="Arial" w:cs="Arial"/>
          <w:sz w:val="20"/>
          <w:szCs w:val="20"/>
          <w:lang w:val="en-US"/>
        </w:rPr>
        <w:t>A framework for assessing fiscal vulnerability. IMF Working Paper Nº52. International Monetary Fund, Washington D.C.</w:t>
      </w:r>
    </w:p>
    <w:p w:rsidR="00D26DAD" w:rsidRPr="00247C9B" w:rsidRDefault="00D26DAD">
      <w:pPr>
        <w:pStyle w:val="Textonotapie"/>
        <w:rPr>
          <w:rFonts w:ascii="Times New Roman" w:hAnsi="Times New Roman" w:cs="Times New Roman"/>
          <w:lang w:val="en-US"/>
        </w:rPr>
      </w:pPr>
    </w:p>
  </w:footnote>
  <w:footnote w:id="6">
    <w:p w:rsidR="00D26DAD" w:rsidRPr="00FF0E98" w:rsidRDefault="00D26DAD" w:rsidP="00FF0E98">
      <w:pPr>
        <w:jc w:val="both"/>
        <w:rPr>
          <w:rFonts w:ascii="Arial" w:hAnsi="Arial" w:cs="Arial"/>
          <w:sz w:val="20"/>
          <w:szCs w:val="20"/>
        </w:rPr>
      </w:pPr>
      <w:r w:rsidRPr="00644F0F">
        <w:rPr>
          <w:rStyle w:val="Refdenotaalpie"/>
          <w:rFonts w:ascii="Arial" w:hAnsi="Arial" w:cs="Arial"/>
          <w:sz w:val="20"/>
          <w:szCs w:val="20"/>
        </w:rPr>
        <w:footnoteRef/>
      </w:r>
      <w:r w:rsidRPr="00644F0F">
        <w:rPr>
          <w:rFonts w:ascii="Arial" w:hAnsi="Arial" w:cs="Arial"/>
          <w:sz w:val="20"/>
          <w:szCs w:val="20"/>
        </w:rPr>
        <w:t xml:space="preserve"> Este indicador es elaborado por el CIPPEC y el dato para 2017 fue presentado formalmente en Agosto, W. y Casadei, E. (2017). Índice de transparencia presupuestaria provincial. Edición 2017. Documento de Políticas Públicas/Análisis</w:t>
      </w:r>
      <w:r>
        <w:rPr>
          <w:rFonts w:ascii="Arial" w:hAnsi="Arial" w:cs="Arial"/>
          <w:sz w:val="20"/>
          <w:szCs w:val="20"/>
        </w:rPr>
        <w:t xml:space="preserve"> N°128. CIPPEC, Buenos Aires.  </w:t>
      </w:r>
    </w:p>
  </w:footnote>
  <w:footnote w:id="7">
    <w:p w:rsidR="00D26DAD" w:rsidRPr="00644F0F" w:rsidRDefault="00D26DAD" w:rsidP="00971168">
      <w:pPr>
        <w:pStyle w:val="Textonotapie"/>
        <w:jc w:val="both"/>
        <w:rPr>
          <w:rFonts w:ascii="Arial" w:hAnsi="Arial" w:cs="Arial"/>
        </w:rPr>
      </w:pPr>
      <w:r w:rsidRPr="00644F0F">
        <w:rPr>
          <w:rStyle w:val="Refdenotaalpie"/>
          <w:rFonts w:ascii="Arial" w:hAnsi="Arial" w:cs="Arial"/>
        </w:rPr>
        <w:footnoteRef/>
      </w:r>
      <w:r w:rsidRPr="00644F0F">
        <w:rPr>
          <w:rFonts w:ascii="Arial" w:hAnsi="Arial" w:cs="Arial"/>
        </w:rPr>
        <w:t>Los mismos se encuentran disponibles para 10 del total de 24 jurisdicciones para el año 2017: Córdoba, Corrientes Ciudad Autónoma de Buenos Aires, Entre Ríos, Misiones, Río Negro, Salta, San Juan, Santa Cruz y Santa Fe. Para las 14 provincias restantes se utilizaron estimaciones provistas por el Ministerio del Interior.</w:t>
      </w:r>
    </w:p>
  </w:footnote>
  <w:footnote w:id="8">
    <w:p w:rsidR="00D26DAD" w:rsidRPr="000E4173" w:rsidRDefault="00D26DAD">
      <w:pPr>
        <w:pStyle w:val="Textonotapie"/>
        <w:rPr>
          <w:rFonts w:ascii="Arial" w:hAnsi="Arial" w:cs="Arial"/>
          <w:lang w:val="es-AR"/>
        </w:rPr>
      </w:pPr>
      <w:r w:rsidRPr="000E4173">
        <w:rPr>
          <w:rStyle w:val="Refdenotaalpie"/>
          <w:rFonts w:ascii="Arial" w:hAnsi="Arial" w:cs="Arial"/>
        </w:rPr>
        <w:footnoteRef/>
      </w:r>
      <w:r w:rsidRPr="000E4173">
        <w:rPr>
          <w:rFonts w:ascii="Arial" w:hAnsi="Arial" w:cs="Arial"/>
          <w:lang w:val="es-AR"/>
        </w:rPr>
        <w:t xml:space="preserve">El análisis se aplica sobre la versión del IFF que considera las diferencias relativas entre provincias. </w:t>
      </w:r>
    </w:p>
  </w:footnote>
  <w:footnote w:id="9">
    <w:p w:rsidR="00D26DAD" w:rsidRPr="00CB3BD2" w:rsidRDefault="00D26DAD">
      <w:pPr>
        <w:pStyle w:val="Textonotapie"/>
        <w:rPr>
          <w:rFonts w:ascii="Arial" w:hAnsi="Arial" w:cs="Arial"/>
        </w:rPr>
      </w:pPr>
      <w:r w:rsidRPr="00CB3BD2">
        <w:rPr>
          <w:rStyle w:val="Refdenotaalpie"/>
          <w:rFonts w:ascii="Arial" w:hAnsi="Arial" w:cs="Arial"/>
        </w:rPr>
        <w:footnoteRef/>
      </w:r>
      <w:r w:rsidRPr="00CB3BD2">
        <w:rPr>
          <w:rFonts w:ascii="Arial" w:hAnsi="Arial" w:cs="Arial"/>
        </w:rPr>
        <w:t xml:space="preserve"> La línea continua constituye la versión gráfica de una distribución normal estándar teórica.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36C99"/>
    <w:multiLevelType w:val="hybridMultilevel"/>
    <w:tmpl w:val="EA7E728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2F7C695B"/>
    <w:multiLevelType w:val="hybridMultilevel"/>
    <w:tmpl w:val="89FC20BE"/>
    <w:lvl w:ilvl="0" w:tplc="60840BD0">
      <w:start w:val="5"/>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30F4499B"/>
    <w:multiLevelType w:val="hybridMultilevel"/>
    <w:tmpl w:val="F16A07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A91018E"/>
    <w:multiLevelType w:val="hybridMultilevel"/>
    <w:tmpl w:val="88409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7B64EF9"/>
    <w:multiLevelType w:val="hybridMultilevel"/>
    <w:tmpl w:val="ABB01D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8D70F9"/>
    <w:multiLevelType w:val="hybridMultilevel"/>
    <w:tmpl w:val="7CD8F9C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A457E2C"/>
    <w:multiLevelType w:val="hybridMultilevel"/>
    <w:tmpl w:val="ABB4B9F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DD81C0F"/>
    <w:multiLevelType w:val="hybridMultilevel"/>
    <w:tmpl w:val="57745FA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3907F70"/>
    <w:multiLevelType w:val="hybridMultilevel"/>
    <w:tmpl w:val="7CD8F9C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3100077"/>
    <w:multiLevelType w:val="hybridMultilevel"/>
    <w:tmpl w:val="B80E8F62"/>
    <w:lvl w:ilvl="0" w:tplc="BAF6F342">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6E500ED"/>
    <w:multiLevelType w:val="hybridMultilevel"/>
    <w:tmpl w:val="4C7219AC"/>
    <w:lvl w:ilvl="0" w:tplc="080C25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CB215CA"/>
    <w:multiLevelType w:val="hybridMultilevel"/>
    <w:tmpl w:val="26D40902"/>
    <w:lvl w:ilvl="0" w:tplc="7486BA6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7"/>
  </w:num>
  <w:num w:numId="5">
    <w:abstractNumId w:val="5"/>
  </w:num>
  <w:num w:numId="6">
    <w:abstractNumId w:val="9"/>
  </w:num>
  <w:num w:numId="7">
    <w:abstractNumId w:val="2"/>
  </w:num>
  <w:num w:numId="8">
    <w:abstractNumId w:val="3"/>
  </w:num>
  <w:num w:numId="9">
    <w:abstractNumId w:val="6"/>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56"/>
    <w:rsid w:val="000024E6"/>
    <w:rsid w:val="0001215C"/>
    <w:rsid w:val="00015F48"/>
    <w:rsid w:val="00021E3F"/>
    <w:rsid w:val="00025174"/>
    <w:rsid w:val="0003170B"/>
    <w:rsid w:val="000327CC"/>
    <w:rsid w:val="0003353F"/>
    <w:rsid w:val="00036809"/>
    <w:rsid w:val="000415E5"/>
    <w:rsid w:val="000443B2"/>
    <w:rsid w:val="000467AA"/>
    <w:rsid w:val="00047E71"/>
    <w:rsid w:val="00065425"/>
    <w:rsid w:val="00066DD6"/>
    <w:rsid w:val="00070BF1"/>
    <w:rsid w:val="00072CAB"/>
    <w:rsid w:val="00073DFB"/>
    <w:rsid w:val="00076B62"/>
    <w:rsid w:val="00076DE3"/>
    <w:rsid w:val="000777C9"/>
    <w:rsid w:val="00093BEB"/>
    <w:rsid w:val="0009499C"/>
    <w:rsid w:val="00097464"/>
    <w:rsid w:val="000978A2"/>
    <w:rsid w:val="000A2D2D"/>
    <w:rsid w:val="000B1416"/>
    <w:rsid w:val="000B3607"/>
    <w:rsid w:val="000B64FC"/>
    <w:rsid w:val="000B7BD5"/>
    <w:rsid w:val="000C0B9A"/>
    <w:rsid w:val="000C1B69"/>
    <w:rsid w:val="000C30AC"/>
    <w:rsid w:val="000C612D"/>
    <w:rsid w:val="000C7256"/>
    <w:rsid w:val="000D0A6D"/>
    <w:rsid w:val="000D2976"/>
    <w:rsid w:val="000D3C0D"/>
    <w:rsid w:val="000E093F"/>
    <w:rsid w:val="000E0CEA"/>
    <w:rsid w:val="000E2C0C"/>
    <w:rsid w:val="000E37F0"/>
    <w:rsid w:val="000E4173"/>
    <w:rsid w:val="000E5454"/>
    <w:rsid w:val="000E6958"/>
    <w:rsid w:val="000E6C0D"/>
    <w:rsid w:val="00102E00"/>
    <w:rsid w:val="001208C1"/>
    <w:rsid w:val="00123833"/>
    <w:rsid w:val="00125B5F"/>
    <w:rsid w:val="0013416F"/>
    <w:rsid w:val="001355D7"/>
    <w:rsid w:val="00136FC1"/>
    <w:rsid w:val="00152173"/>
    <w:rsid w:val="00154DA4"/>
    <w:rsid w:val="00156A35"/>
    <w:rsid w:val="00161E79"/>
    <w:rsid w:val="00170352"/>
    <w:rsid w:val="001736AB"/>
    <w:rsid w:val="00173888"/>
    <w:rsid w:val="00176451"/>
    <w:rsid w:val="001918A3"/>
    <w:rsid w:val="001A1428"/>
    <w:rsid w:val="001A4C4B"/>
    <w:rsid w:val="001A5C05"/>
    <w:rsid w:val="001B4AEF"/>
    <w:rsid w:val="001C02D0"/>
    <w:rsid w:val="001D274E"/>
    <w:rsid w:val="001D460F"/>
    <w:rsid w:val="001E01E3"/>
    <w:rsid w:val="001E3BE5"/>
    <w:rsid w:val="001F5D10"/>
    <w:rsid w:val="002015D6"/>
    <w:rsid w:val="00217A32"/>
    <w:rsid w:val="002242C4"/>
    <w:rsid w:val="0023016E"/>
    <w:rsid w:val="00237E19"/>
    <w:rsid w:val="0024354E"/>
    <w:rsid w:val="00247C9B"/>
    <w:rsid w:val="00250B76"/>
    <w:rsid w:val="0025279B"/>
    <w:rsid w:val="0026224D"/>
    <w:rsid w:val="00270E8B"/>
    <w:rsid w:val="002738B4"/>
    <w:rsid w:val="00273B61"/>
    <w:rsid w:val="00275643"/>
    <w:rsid w:val="00275D96"/>
    <w:rsid w:val="002773CE"/>
    <w:rsid w:val="0028107C"/>
    <w:rsid w:val="00285844"/>
    <w:rsid w:val="00293635"/>
    <w:rsid w:val="00296198"/>
    <w:rsid w:val="002A3BC4"/>
    <w:rsid w:val="002B0CD5"/>
    <w:rsid w:val="002B1A68"/>
    <w:rsid w:val="002B2797"/>
    <w:rsid w:val="002B520C"/>
    <w:rsid w:val="002C5CC3"/>
    <w:rsid w:val="002D441F"/>
    <w:rsid w:val="002D5CB5"/>
    <w:rsid w:val="002E6A65"/>
    <w:rsid w:val="002F1598"/>
    <w:rsid w:val="003035A8"/>
    <w:rsid w:val="003065F9"/>
    <w:rsid w:val="00307711"/>
    <w:rsid w:val="003247AE"/>
    <w:rsid w:val="00336886"/>
    <w:rsid w:val="00337AF6"/>
    <w:rsid w:val="003444C9"/>
    <w:rsid w:val="00352538"/>
    <w:rsid w:val="003539E0"/>
    <w:rsid w:val="003563E0"/>
    <w:rsid w:val="00356EBA"/>
    <w:rsid w:val="00357A3D"/>
    <w:rsid w:val="00370A69"/>
    <w:rsid w:val="0037323A"/>
    <w:rsid w:val="0038021F"/>
    <w:rsid w:val="003862B5"/>
    <w:rsid w:val="00396676"/>
    <w:rsid w:val="003976B1"/>
    <w:rsid w:val="003A488D"/>
    <w:rsid w:val="003C2110"/>
    <w:rsid w:val="003C5BAF"/>
    <w:rsid w:val="003D1D3E"/>
    <w:rsid w:val="003E07B0"/>
    <w:rsid w:val="003E5EAC"/>
    <w:rsid w:val="00401D0A"/>
    <w:rsid w:val="00410E54"/>
    <w:rsid w:val="00411EFE"/>
    <w:rsid w:val="0041239C"/>
    <w:rsid w:val="00412479"/>
    <w:rsid w:val="004165C0"/>
    <w:rsid w:val="0042537F"/>
    <w:rsid w:val="00426581"/>
    <w:rsid w:val="004356A1"/>
    <w:rsid w:val="00435AE3"/>
    <w:rsid w:val="004368F5"/>
    <w:rsid w:val="00437DF2"/>
    <w:rsid w:val="0044242D"/>
    <w:rsid w:val="0047380A"/>
    <w:rsid w:val="00475274"/>
    <w:rsid w:val="004847B3"/>
    <w:rsid w:val="00485012"/>
    <w:rsid w:val="00485F71"/>
    <w:rsid w:val="0049048E"/>
    <w:rsid w:val="00490E0C"/>
    <w:rsid w:val="0049342F"/>
    <w:rsid w:val="004B46D0"/>
    <w:rsid w:val="004C157E"/>
    <w:rsid w:val="004E14CB"/>
    <w:rsid w:val="004E6464"/>
    <w:rsid w:val="004F4912"/>
    <w:rsid w:val="004F4CCC"/>
    <w:rsid w:val="004F5405"/>
    <w:rsid w:val="0050089A"/>
    <w:rsid w:val="0051083F"/>
    <w:rsid w:val="00523B85"/>
    <w:rsid w:val="0053063D"/>
    <w:rsid w:val="00534AD0"/>
    <w:rsid w:val="00540261"/>
    <w:rsid w:val="00571CD1"/>
    <w:rsid w:val="00571E2F"/>
    <w:rsid w:val="00575AA3"/>
    <w:rsid w:val="00575AC5"/>
    <w:rsid w:val="00584E7A"/>
    <w:rsid w:val="005859CE"/>
    <w:rsid w:val="00593912"/>
    <w:rsid w:val="00594004"/>
    <w:rsid w:val="00597635"/>
    <w:rsid w:val="005A378A"/>
    <w:rsid w:val="005A3B3C"/>
    <w:rsid w:val="005A3EF1"/>
    <w:rsid w:val="005B094F"/>
    <w:rsid w:val="005B286A"/>
    <w:rsid w:val="005B33CA"/>
    <w:rsid w:val="005B34FD"/>
    <w:rsid w:val="005B5BE2"/>
    <w:rsid w:val="005C78CD"/>
    <w:rsid w:val="005D7ACC"/>
    <w:rsid w:val="005E4019"/>
    <w:rsid w:val="005E4829"/>
    <w:rsid w:val="005E4EF0"/>
    <w:rsid w:val="005E579E"/>
    <w:rsid w:val="005F110C"/>
    <w:rsid w:val="005F5627"/>
    <w:rsid w:val="00604491"/>
    <w:rsid w:val="006100D3"/>
    <w:rsid w:val="00614614"/>
    <w:rsid w:val="006210A3"/>
    <w:rsid w:val="00622856"/>
    <w:rsid w:val="006267AD"/>
    <w:rsid w:val="00626AFB"/>
    <w:rsid w:val="00644F0F"/>
    <w:rsid w:val="00653D9F"/>
    <w:rsid w:val="00662923"/>
    <w:rsid w:val="00663B43"/>
    <w:rsid w:val="00663B60"/>
    <w:rsid w:val="00676AFE"/>
    <w:rsid w:val="00682C81"/>
    <w:rsid w:val="006861B0"/>
    <w:rsid w:val="00697B06"/>
    <w:rsid w:val="00697D09"/>
    <w:rsid w:val="00697F9D"/>
    <w:rsid w:val="006A670E"/>
    <w:rsid w:val="006C260D"/>
    <w:rsid w:val="006C4E43"/>
    <w:rsid w:val="006D021A"/>
    <w:rsid w:val="006D2517"/>
    <w:rsid w:val="006D292E"/>
    <w:rsid w:val="006D46B9"/>
    <w:rsid w:val="006D7308"/>
    <w:rsid w:val="006F2841"/>
    <w:rsid w:val="006F65AA"/>
    <w:rsid w:val="00700B7C"/>
    <w:rsid w:val="00702832"/>
    <w:rsid w:val="00710B84"/>
    <w:rsid w:val="00717C57"/>
    <w:rsid w:val="00720046"/>
    <w:rsid w:val="00720511"/>
    <w:rsid w:val="00733F41"/>
    <w:rsid w:val="0073615F"/>
    <w:rsid w:val="007366AB"/>
    <w:rsid w:val="00746F68"/>
    <w:rsid w:val="00752303"/>
    <w:rsid w:val="0075336C"/>
    <w:rsid w:val="00755A3F"/>
    <w:rsid w:val="0076759F"/>
    <w:rsid w:val="00771E10"/>
    <w:rsid w:val="0078032B"/>
    <w:rsid w:val="0078522A"/>
    <w:rsid w:val="00791D17"/>
    <w:rsid w:val="00792A6D"/>
    <w:rsid w:val="00793D77"/>
    <w:rsid w:val="00795F5F"/>
    <w:rsid w:val="007A061A"/>
    <w:rsid w:val="007A4D79"/>
    <w:rsid w:val="007B7438"/>
    <w:rsid w:val="007C097F"/>
    <w:rsid w:val="007D088E"/>
    <w:rsid w:val="007D20EB"/>
    <w:rsid w:val="007D6C0C"/>
    <w:rsid w:val="007E1333"/>
    <w:rsid w:val="007F1905"/>
    <w:rsid w:val="007F1C46"/>
    <w:rsid w:val="007F2423"/>
    <w:rsid w:val="0081035E"/>
    <w:rsid w:val="00811B36"/>
    <w:rsid w:val="008133CD"/>
    <w:rsid w:val="00817F10"/>
    <w:rsid w:val="00820E85"/>
    <w:rsid w:val="00825237"/>
    <w:rsid w:val="008337EB"/>
    <w:rsid w:val="00833A18"/>
    <w:rsid w:val="0083486A"/>
    <w:rsid w:val="008366AC"/>
    <w:rsid w:val="00837761"/>
    <w:rsid w:val="00837798"/>
    <w:rsid w:val="00840BD5"/>
    <w:rsid w:val="0084386F"/>
    <w:rsid w:val="008475D0"/>
    <w:rsid w:val="00847AFC"/>
    <w:rsid w:val="00854034"/>
    <w:rsid w:val="00855508"/>
    <w:rsid w:val="00860744"/>
    <w:rsid w:val="0088230D"/>
    <w:rsid w:val="0089479B"/>
    <w:rsid w:val="008948A9"/>
    <w:rsid w:val="00895071"/>
    <w:rsid w:val="008A59EC"/>
    <w:rsid w:val="008E2969"/>
    <w:rsid w:val="008F03CA"/>
    <w:rsid w:val="008F2401"/>
    <w:rsid w:val="00901A3E"/>
    <w:rsid w:val="00903B38"/>
    <w:rsid w:val="0091089A"/>
    <w:rsid w:val="0091129E"/>
    <w:rsid w:val="00911E3C"/>
    <w:rsid w:val="009151BF"/>
    <w:rsid w:val="00915CEB"/>
    <w:rsid w:val="009227A9"/>
    <w:rsid w:val="009356EC"/>
    <w:rsid w:val="00942042"/>
    <w:rsid w:val="00955C01"/>
    <w:rsid w:val="00957831"/>
    <w:rsid w:val="00960B9A"/>
    <w:rsid w:val="00961272"/>
    <w:rsid w:val="009622CE"/>
    <w:rsid w:val="0096279F"/>
    <w:rsid w:val="00967DF5"/>
    <w:rsid w:val="00970500"/>
    <w:rsid w:val="00971168"/>
    <w:rsid w:val="009762B6"/>
    <w:rsid w:val="009774B9"/>
    <w:rsid w:val="00977B41"/>
    <w:rsid w:val="00980791"/>
    <w:rsid w:val="00980D54"/>
    <w:rsid w:val="0099018A"/>
    <w:rsid w:val="009927DF"/>
    <w:rsid w:val="009A4D0B"/>
    <w:rsid w:val="009B7CBA"/>
    <w:rsid w:val="009C6A22"/>
    <w:rsid w:val="009D104E"/>
    <w:rsid w:val="009E724B"/>
    <w:rsid w:val="009F4EC8"/>
    <w:rsid w:val="009F65A6"/>
    <w:rsid w:val="00A04536"/>
    <w:rsid w:val="00A04562"/>
    <w:rsid w:val="00A064C1"/>
    <w:rsid w:val="00A07032"/>
    <w:rsid w:val="00A12954"/>
    <w:rsid w:val="00A13B3B"/>
    <w:rsid w:val="00A24D76"/>
    <w:rsid w:val="00A4262D"/>
    <w:rsid w:val="00A46662"/>
    <w:rsid w:val="00A5128E"/>
    <w:rsid w:val="00A52C4D"/>
    <w:rsid w:val="00A6534C"/>
    <w:rsid w:val="00A7664E"/>
    <w:rsid w:val="00A77B59"/>
    <w:rsid w:val="00A81453"/>
    <w:rsid w:val="00A90597"/>
    <w:rsid w:val="00A9263B"/>
    <w:rsid w:val="00AA5B52"/>
    <w:rsid w:val="00AB0ABA"/>
    <w:rsid w:val="00AB1EB1"/>
    <w:rsid w:val="00AB26DB"/>
    <w:rsid w:val="00AB2EB2"/>
    <w:rsid w:val="00AB55F7"/>
    <w:rsid w:val="00AC0AF2"/>
    <w:rsid w:val="00AE2B6E"/>
    <w:rsid w:val="00AE38B1"/>
    <w:rsid w:val="00AE4F79"/>
    <w:rsid w:val="00B020EC"/>
    <w:rsid w:val="00B16453"/>
    <w:rsid w:val="00B31574"/>
    <w:rsid w:val="00B37CB1"/>
    <w:rsid w:val="00B50EA9"/>
    <w:rsid w:val="00B60D52"/>
    <w:rsid w:val="00B66576"/>
    <w:rsid w:val="00B74DC8"/>
    <w:rsid w:val="00B74DE1"/>
    <w:rsid w:val="00B760A9"/>
    <w:rsid w:val="00B77BD1"/>
    <w:rsid w:val="00B8202C"/>
    <w:rsid w:val="00B82E07"/>
    <w:rsid w:val="00B82FF1"/>
    <w:rsid w:val="00B84006"/>
    <w:rsid w:val="00B877AE"/>
    <w:rsid w:val="00B93046"/>
    <w:rsid w:val="00B93670"/>
    <w:rsid w:val="00B93D26"/>
    <w:rsid w:val="00BB22F0"/>
    <w:rsid w:val="00BB30B2"/>
    <w:rsid w:val="00BB3B19"/>
    <w:rsid w:val="00BC0FC6"/>
    <w:rsid w:val="00BD0465"/>
    <w:rsid w:val="00BD0E41"/>
    <w:rsid w:val="00BF1325"/>
    <w:rsid w:val="00BF514C"/>
    <w:rsid w:val="00BF6ED7"/>
    <w:rsid w:val="00C062A4"/>
    <w:rsid w:val="00C06613"/>
    <w:rsid w:val="00C0704A"/>
    <w:rsid w:val="00C10281"/>
    <w:rsid w:val="00C13BB4"/>
    <w:rsid w:val="00C15051"/>
    <w:rsid w:val="00C157FB"/>
    <w:rsid w:val="00C203FF"/>
    <w:rsid w:val="00C250E6"/>
    <w:rsid w:val="00C2638F"/>
    <w:rsid w:val="00C275BF"/>
    <w:rsid w:val="00C343A7"/>
    <w:rsid w:val="00C4722F"/>
    <w:rsid w:val="00C80419"/>
    <w:rsid w:val="00C80901"/>
    <w:rsid w:val="00C9102F"/>
    <w:rsid w:val="00CA3751"/>
    <w:rsid w:val="00CA61B4"/>
    <w:rsid w:val="00CA6807"/>
    <w:rsid w:val="00CA6B94"/>
    <w:rsid w:val="00CB3BD2"/>
    <w:rsid w:val="00CD5D16"/>
    <w:rsid w:val="00CD6D98"/>
    <w:rsid w:val="00CE484E"/>
    <w:rsid w:val="00CF4019"/>
    <w:rsid w:val="00CF5FC4"/>
    <w:rsid w:val="00CF6348"/>
    <w:rsid w:val="00D05933"/>
    <w:rsid w:val="00D074EE"/>
    <w:rsid w:val="00D10D44"/>
    <w:rsid w:val="00D11C8F"/>
    <w:rsid w:val="00D12548"/>
    <w:rsid w:val="00D13F12"/>
    <w:rsid w:val="00D14B3A"/>
    <w:rsid w:val="00D15A2B"/>
    <w:rsid w:val="00D207BE"/>
    <w:rsid w:val="00D21F0F"/>
    <w:rsid w:val="00D26DAD"/>
    <w:rsid w:val="00D30AF4"/>
    <w:rsid w:val="00D322BD"/>
    <w:rsid w:val="00D32E78"/>
    <w:rsid w:val="00D35B8A"/>
    <w:rsid w:val="00D366DB"/>
    <w:rsid w:val="00D40767"/>
    <w:rsid w:val="00D61FCB"/>
    <w:rsid w:val="00D62659"/>
    <w:rsid w:val="00D71353"/>
    <w:rsid w:val="00D90A39"/>
    <w:rsid w:val="00DA0E78"/>
    <w:rsid w:val="00DA2D9D"/>
    <w:rsid w:val="00DA38A3"/>
    <w:rsid w:val="00DA5196"/>
    <w:rsid w:val="00DA63AE"/>
    <w:rsid w:val="00DA7B39"/>
    <w:rsid w:val="00DB5BCE"/>
    <w:rsid w:val="00DC75A2"/>
    <w:rsid w:val="00DD03C9"/>
    <w:rsid w:val="00DD2AF7"/>
    <w:rsid w:val="00DD3EBF"/>
    <w:rsid w:val="00DE3A91"/>
    <w:rsid w:val="00DE5BBD"/>
    <w:rsid w:val="00DF1846"/>
    <w:rsid w:val="00DF3741"/>
    <w:rsid w:val="00DF4276"/>
    <w:rsid w:val="00E0011F"/>
    <w:rsid w:val="00E10585"/>
    <w:rsid w:val="00E167D5"/>
    <w:rsid w:val="00E17B75"/>
    <w:rsid w:val="00E17F18"/>
    <w:rsid w:val="00E27519"/>
    <w:rsid w:val="00E33FA0"/>
    <w:rsid w:val="00E35EA6"/>
    <w:rsid w:val="00E408C1"/>
    <w:rsid w:val="00E425A1"/>
    <w:rsid w:val="00E45C0B"/>
    <w:rsid w:val="00E5090D"/>
    <w:rsid w:val="00E551D1"/>
    <w:rsid w:val="00E579C0"/>
    <w:rsid w:val="00E62B4A"/>
    <w:rsid w:val="00E64037"/>
    <w:rsid w:val="00E67078"/>
    <w:rsid w:val="00E84847"/>
    <w:rsid w:val="00EA2226"/>
    <w:rsid w:val="00EA7203"/>
    <w:rsid w:val="00EA7541"/>
    <w:rsid w:val="00EB7A72"/>
    <w:rsid w:val="00EC134E"/>
    <w:rsid w:val="00EC1AD2"/>
    <w:rsid w:val="00EC4274"/>
    <w:rsid w:val="00EC7D44"/>
    <w:rsid w:val="00EC7DB7"/>
    <w:rsid w:val="00ED2CE7"/>
    <w:rsid w:val="00ED5B80"/>
    <w:rsid w:val="00EE4B50"/>
    <w:rsid w:val="00EE7503"/>
    <w:rsid w:val="00EF4646"/>
    <w:rsid w:val="00EF5145"/>
    <w:rsid w:val="00EF7BAF"/>
    <w:rsid w:val="00F10239"/>
    <w:rsid w:val="00F104DA"/>
    <w:rsid w:val="00F12132"/>
    <w:rsid w:val="00F21256"/>
    <w:rsid w:val="00F2799B"/>
    <w:rsid w:val="00F31EB6"/>
    <w:rsid w:val="00F3362A"/>
    <w:rsid w:val="00F41200"/>
    <w:rsid w:val="00F4191E"/>
    <w:rsid w:val="00F447FE"/>
    <w:rsid w:val="00F52C01"/>
    <w:rsid w:val="00F60D89"/>
    <w:rsid w:val="00F6795D"/>
    <w:rsid w:val="00F7354A"/>
    <w:rsid w:val="00F74C54"/>
    <w:rsid w:val="00F74E22"/>
    <w:rsid w:val="00F7539D"/>
    <w:rsid w:val="00F80C96"/>
    <w:rsid w:val="00F84AA2"/>
    <w:rsid w:val="00F87D75"/>
    <w:rsid w:val="00F95BA2"/>
    <w:rsid w:val="00FA154A"/>
    <w:rsid w:val="00FA26DF"/>
    <w:rsid w:val="00FA4031"/>
    <w:rsid w:val="00FB2879"/>
    <w:rsid w:val="00FB2FD4"/>
    <w:rsid w:val="00FB4833"/>
    <w:rsid w:val="00FB737C"/>
    <w:rsid w:val="00FC0917"/>
    <w:rsid w:val="00FC0E66"/>
    <w:rsid w:val="00FC3F05"/>
    <w:rsid w:val="00FC5A02"/>
    <w:rsid w:val="00FD4BE2"/>
    <w:rsid w:val="00FE2082"/>
    <w:rsid w:val="00FE506E"/>
    <w:rsid w:val="00FF0E98"/>
    <w:rsid w:val="00FF5D4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F51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EF51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5AC5"/>
    <w:pPr>
      <w:ind w:left="720"/>
      <w:contextualSpacing/>
    </w:pPr>
  </w:style>
  <w:style w:type="paragraph" w:styleId="Textonotapie">
    <w:name w:val="footnote text"/>
    <w:basedOn w:val="Normal"/>
    <w:link w:val="TextonotapieCar"/>
    <w:uiPriority w:val="99"/>
    <w:semiHidden/>
    <w:unhideWhenUsed/>
    <w:rsid w:val="00247C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7C9B"/>
    <w:rPr>
      <w:sz w:val="20"/>
      <w:szCs w:val="20"/>
    </w:rPr>
  </w:style>
  <w:style w:type="character" w:styleId="Refdenotaalpie">
    <w:name w:val="footnote reference"/>
    <w:basedOn w:val="Fuentedeprrafopredeter"/>
    <w:uiPriority w:val="99"/>
    <w:semiHidden/>
    <w:unhideWhenUsed/>
    <w:rsid w:val="00247C9B"/>
    <w:rPr>
      <w:vertAlign w:val="superscript"/>
    </w:rPr>
  </w:style>
  <w:style w:type="character" w:styleId="Hipervnculo">
    <w:name w:val="Hyperlink"/>
    <w:basedOn w:val="Fuentedeprrafopredeter"/>
    <w:uiPriority w:val="99"/>
    <w:unhideWhenUsed/>
    <w:rsid w:val="00B31574"/>
    <w:rPr>
      <w:color w:val="0000FF" w:themeColor="hyperlink"/>
      <w:u w:val="single"/>
    </w:rPr>
  </w:style>
  <w:style w:type="table" w:styleId="Tablaconcuadrcula">
    <w:name w:val="Table Grid"/>
    <w:basedOn w:val="Tablanormal"/>
    <w:uiPriority w:val="59"/>
    <w:rsid w:val="0044242D"/>
    <w:pPr>
      <w:spacing w:after="0" w:line="240" w:lineRule="auto"/>
    </w:pPr>
    <w:rPr>
      <w:lang w:val="es-AR" w:eastAsia="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4E14CB"/>
    <w:pPr>
      <w:spacing w:line="240" w:lineRule="auto"/>
    </w:pPr>
    <w:rPr>
      <w:i/>
      <w:iCs/>
      <w:color w:val="1F497D" w:themeColor="text2"/>
      <w:sz w:val="18"/>
      <w:szCs w:val="18"/>
    </w:rPr>
  </w:style>
  <w:style w:type="character" w:customStyle="1" w:styleId="Ttulo1Car">
    <w:name w:val="Título 1 Car"/>
    <w:basedOn w:val="Fuentedeprrafopredeter"/>
    <w:link w:val="Ttulo1"/>
    <w:uiPriority w:val="9"/>
    <w:rsid w:val="00EF5145"/>
    <w:rPr>
      <w:rFonts w:asciiTheme="majorHAnsi" w:eastAsiaTheme="majorEastAsia" w:hAnsiTheme="majorHAnsi" w:cstheme="majorBidi"/>
      <w:color w:val="365F91" w:themeColor="accent1" w:themeShade="BF"/>
      <w:sz w:val="32"/>
      <w:szCs w:val="32"/>
    </w:rPr>
  </w:style>
  <w:style w:type="paragraph" w:customStyle="1" w:styleId="a">
    <w:name w:val="a"/>
    <w:basedOn w:val="Ttulo1"/>
    <w:link w:val="aCar"/>
    <w:rsid w:val="00EF5145"/>
  </w:style>
  <w:style w:type="character" w:customStyle="1" w:styleId="Ttulo2Car">
    <w:name w:val="Título 2 Car"/>
    <w:basedOn w:val="Fuentedeprrafopredeter"/>
    <w:link w:val="Ttulo2"/>
    <w:uiPriority w:val="9"/>
    <w:rsid w:val="00EF5145"/>
    <w:rPr>
      <w:rFonts w:asciiTheme="majorHAnsi" w:eastAsiaTheme="majorEastAsia" w:hAnsiTheme="majorHAnsi" w:cstheme="majorBidi"/>
      <w:color w:val="365F91" w:themeColor="accent1" w:themeShade="BF"/>
      <w:sz w:val="26"/>
      <w:szCs w:val="26"/>
    </w:rPr>
  </w:style>
  <w:style w:type="character" w:customStyle="1" w:styleId="aCar">
    <w:name w:val="a Car"/>
    <w:basedOn w:val="Ttulo1Car"/>
    <w:link w:val="a"/>
    <w:rsid w:val="00EF5145"/>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C157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7FB"/>
    <w:rPr>
      <w:rFonts w:ascii="Tahoma" w:hAnsi="Tahoma" w:cs="Tahoma"/>
      <w:sz w:val="16"/>
      <w:szCs w:val="16"/>
    </w:rPr>
  </w:style>
  <w:style w:type="character" w:styleId="Textodelmarcadordeposicin">
    <w:name w:val="Placeholder Text"/>
    <w:basedOn w:val="Fuentedeprrafopredeter"/>
    <w:uiPriority w:val="99"/>
    <w:semiHidden/>
    <w:rsid w:val="004F4CCC"/>
    <w:rPr>
      <w:color w:val="808080"/>
    </w:rPr>
  </w:style>
  <w:style w:type="character" w:customStyle="1" w:styleId="apple-converted-space">
    <w:name w:val="apple-converted-space"/>
    <w:basedOn w:val="Fuentedeprrafopredeter"/>
    <w:rsid w:val="00A46662"/>
  </w:style>
  <w:style w:type="character" w:styleId="nfasis">
    <w:name w:val="Emphasis"/>
    <w:basedOn w:val="Fuentedeprrafopredeter"/>
    <w:uiPriority w:val="20"/>
    <w:qFormat/>
    <w:rsid w:val="00A46662"/>
    <w:rPr>
      <w:i/>
      <w:iCs/>
    </w:rPr>
  </w:style>
  <w:style w:type="paragraph" w:styleId="Encabezado">
    <w:name w:val="header"/>
    <w:basedOn w:val="Normal"/>
    <w:link w:val="EncabezadoCar"/>
    <w:uiPriority w:val="99"/>
    <w:unhideWhenUsed/>
    <w:rsid w:val="002756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643"/>
  </w:style>
  <w:style w:type="paragraph" w:styleId="Piedepgina">
    <w:name w:val="footer"/>
    <w:basedOn w:val="Normal"/>
    <w:link w:val="PiedepginaCar"/>
    <w:uiPriority w:val="99"/>
    <w:unhideWhenUsed/>
    <w:rsid w:val="002756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F51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EF51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5AC5"/>
    <w:pPr>
      <w:ind w:left="720"/>
      <w:contextualSpacing/>
    </w:pPr>
  </w:style>
  <w:style w:type="paragraph" w:styleId="Textonotapie">
    <w:name w:val="footnote text"/>
    <w:basedOn w:val="Normal"/>
    <w:link w:val="TextonotapieCar"/>
    <w:uiPriority w:val="99"/>
    <w:semiHidden/>
    <w:unhideWhenUsed/>
    <w:rsid w:val="00247C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7C9B"/>
    <w:rPr>
      <w:sz w:val="20"/>
      <w:szCs w:val="20"/>
    </w:rPr>
  </w:style>
  <w:style w:type="character" w:styleId="Refdenotaalpie">
    <w:name w:val="footnote reference"/>
    <w:basedOn w:val="Fuentedeprrafopredeter"/>
    <w:uiPriority w:val="99"/>
    <w:semiHidden/>
    <w:unhideWhenUsed/>
    <w:rsid w:val="00247C9B"/>
    <w:rPr>
      <w:vertAlign w:val="superscript"/>
    </w:rPr>
  </w:style>
  <w:style w:type="character" w:styleId="Hipervnculo">
    <w:name w:val="Hyperlink"/>
    <w:basedOn w:val="Fuentedeprrafopredeter"/>
    <w:uiPriority w:val="99"/>
    <w:unhideWhenUsed/>
    <w:rsid w:val="00B31574"/>
    <w:rPr>
      <w:color w:val="0000FF" w:themeColor="hyperlink"/>
      <w:u w:val="single"/>
    </w:rPr>
  </w:style>
  <w:style w:type="table" w:styleId="Tablaconcuadrcula">
    <w:name w:val="Table Grid"/>
    <w:basedOn w:val="Tablanormal"/>
    <w:uiPriority w:val="59"/>
    <w:rsid w:val="0044242D"/>
    <w:pPr>
      <w:spacing w:after="0" w:line="240" w:lineRule="auto"/>
    </w:pPr>
    <w:rPr>
      <w:lang w:val="es-AR" w:eastAsia="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4E14CB"/>
    <w:pPr>
      <w:spacing w:line="240" w:lineRule="auto"/>
    </w:pPr>
    <w:rPr>
      <w:i/>
      <w:iCs/>
      <w:color w:val="1F497D" w:themeColor="text2"/>
      <w:sz w:val="18"/>
      <w:szCs w:val="18"/>
    </w:rPr>
  </w:style>
  <w:style w:type="character" w:customStyle="1" w:styleId="Ttulo1Car">
    <w:name w:val="Título 1 Car"/>
    <w:basedOn w:val="Fuentedeprrafopredeter"/>
    <w:link w:val="Ttulo1"/>
    <w:uiPriority w:val="9"/>
    <w:rsid w:val="00EF5145"/>
    <w:rPr>
      <w:rFonts w:asciiTheme="majorHAnsi" w:eastAsiaTheme="majorEastAsia" w:hAnsiTheme="majorHAnsi" w:cstheme="majorBidi"/>
      <w:color w:val="365F91" w:themeColor="accent1" w:themeShade="BF"/>
      <w:sz w:val="32"/>
      <w:szCs w:val="32"/>
    </w:rPr>
  </w:style>
  <w:style w:type="paragraph" w:customStyle="1" w:styleId="a">
    <w:name w:val="a"/>
    <w:basedOn w:val="Ttulo1"/>
    <w:link w:val="aCar"/>
    <w:rsid w:val="00EF5145"/>
  </w:style>
  <w:style w:type="character" w:customStyle="1" w:styleId="Ttulo2Car">
    <w:name w:val="Título 2 Car"/>
    <w:basedOn w:val="Fuentedeprrafopredeter"/>
    <w:link w:val="Ttulo2"/>
    <w:uiPriority w:val="9"/>
    <w:rsid w:val="00EF5145"/>
    <w:rPr>
      <w:rFonts w:asciiTheme="majorHAnsi" w:eastAsiaTheme="majorEastAsia" w:hAnsiTheme="majorHAnsi" w:cstheme="majorBidi"/>
      <w:color w:val="365F91" w:themeColor="accent1" w:themeShade="BF"/>
      <w:sz w:val="26"/>
      <w:szCs w:val="26"/>
    </w:rPr>
  </w:style>
  <w:style w:type="character" w:customStyle="1" w:styleId="aCar">
    <w:name w:val="a Car"/>
    <w:basedOn w:val="Ttulo1Car"/>
    <w:link w:val="a"/>
    <w:rsid w:val="00EF5145"/>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C157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7FB"/>
    <w:rPr>
      <w:rFonts w:ascii="Tahoma" w:hAnsi="Tahoma" w:cs="Tahoma"/>
      <w:sz w:val="16"/>
      <w:szCs w:val="16"/>
    </w:rPr>
  </w:style>
  <w:style w:type="character" w:styleId="Textodelmarcadordeposicin">
    <w:name w:val="Placeholder Text"/>
    <w:basedOn w:val="Fuentedeprrafopredeter"/>
    <w:uiPriority w:val="99"/>
    <w:semiHidden/>
    <w:rsid w:val="004F4CCC"/>
    <w:rPr>
      <w:color w:val="808080"/>
    </w:rPr>
  </w:style>
  <w:style w:type="character" w:customStyle="1" w:styleId="apple-converted-space">
    <w:name w:val="apple-converted-space"/>
    <w:basedOn w:val="Fuentedeprrafopredeter"/>
    <w:rsid w:val="00A46662"/>
  </w:style>
  <w:style w:type="character" w:styleId="nfasis">
    <w:name w:val="Emphasis"/>
    <w:basedOn w:val="Fuentedeprrafopredeter"/>
    <w:uiPriority w:val="20"/>
    <w:qFormat/>
    <w:rsid w:val="00A46662"/>
    <w:rPr>
      <w:i/>
      <w:iCs/>
    </w:rPr>
  </w:style>
  <w:style w:type="paragraph" w:styleId="Encabezado">
    <w:name w:val="header"/>
    <w:basedOn w:val="Normal"/>
    <w:link w:val="EncabezadoCar"/>
    <w:uiPriority w:val="99"/>
    <w:unhideWhenUsed/>
    <w:rsid w:val="002756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643"/>
  </w:style>
  <w:style w:type="paragraph" w:styleId="Piedepgina">
    <w:name w:val="footer"/>
    <w:basedOn w:val="Normal"/>
    <w:link w:val="PiedepginaCar"/>
    <w:uiPriority w:val="99"/>
    <w:unhideWhenUsed/>
    <w:rsid w:val="002756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8847">
      <w:bodyDiv w:val="1"/>
      <w:marLeft w:val="0"/>
      <w:marRight w:val="0"/>
      <w:marTop w:val="0"/>
      <w:marBottom w:val="0"/>
      <w:divBdr>
        <w:top w:val="none" w:sz="0" w:space="0" w:color="auto"/>
        <w:left w:val="none" w:sz="0" w:space="0" w:color="auto"/>
        <w:bottom w:val="none" w:sz="0" w:space="0" w:color="auto"/>
        <w:right w:val="none" w:sz="0" w:space="0" w:color="auto"/>
      </w:divBdr>
    </w:div>
    <w:div w:id="70472172">
      <w:bodyDiv w:val="1"/>
      <w:marLeft w:val="0"/>
      <w:marRight w:val="0"/>
      <w:marTop w:val="0"/>
      <w:marBottom w:val="0"/>
      <w:divBdr>
        <w:top w:val="none" w:sz="0" w:space="0" w:color="auto"/>
        <w:left w:val="none" w:sz="0" w:space="0" w:color="auto"/>
        <w:bottom w:val="none" w:sz="0" w:space="0" w:color="auto"/>
        <w:right w:val="none" w:sz="0" w:space="0" w:color="auto"/>
      </w:divBdr>
    </w:div>
    <w:div w:id="182399472">
      <w:bodyDiv w:val="1"/>
      <w:marLeft w:val="0"/>
      <w:marRight w:val="0"/>
      <w:marTop w:val="0"/>
      <w:marBottom w:val="0"/>
      <w:divBdr>
        <w:top w:val="none" w:sz="0" w:space="0" w:color="auto"/>
        <w:left w:val="none" w:sz="0" w:space="0" w:color="auto"/>
        <w:bottom w:val="none" w:sz="0" w:space="0" w:color="auto"/>
        <w:right w:val="none" w:sz="0" w:space="0" w:color="auto"/>
      </w:divBdr>
    </w:div>
    <w:div w:id="227226292">
      <w:bodyDiv w:val="1"/>
      <w:marLeft w:val="0"/>
      <w:marRight w:val="0"/>
      <w:marTop w:val="0"/>
      <w:marBottom w:val="0"/>
      <w:divBdr>
        <w:top w:val="none" w:sz="0" w:space="0" w:color="auto"/>
        <w:left w:val="none" w:sz="0" w:space="0" w:color="auto"/>
        <w:bottom w:val="none" w:sz="0" w:space="0" w:color="auto"/>
        <w:right w:val="none" w:sz="0" w:space="0" w:color="auto"/>
      </w:divBdr>
    </w:div>
    <w:div w:id="277298644">
      <w:bodyDiv w:val="1"/>
      <w:marLeft w:val="0"/>
      <w:marRight w:val="0"/>
      <w:marTop w:val="0"/>
      <w:marBottom w:val="0"/>
      <w:divBdr>
        <w:top w:val="none" w:sz="0" w:space="0" w:color="auto"/>
        <w:left w:val="none" w:sz="0" w:space="0" w:color="auto"/>
        <w:bottom w:val="none" w:sz="0" w:space="0" w:color="auto"/>
        <w:right w:val="none" w:sz="0" w:space="0" w:color="auto"/>
      </w:divBdr>
    </w:div>
    <w:div w:id="314451384">
      <w:bodyDiv w:val="1"/>
      <w:marLeft w:val="0"/>
      <w:marRight w:val="0"/>
      <w:marTop w:val="0"/>
      <w:marBottom w:val="0"/>
      <w:divBdr>
        <w:top w:val="none" w:sz="0" w:space="0" w:color="auto"/>
        <w:left w:val="none" w:sz="0" w:space="0" w:color="auto"/>
        <w:bottom w:val="none" w:sz="0" w:space="0" w:color="auto"/>
        <w:right w:val="none" w:sz="0" w:space="0" w:color="auto"/>
      </w:divBdr>
    </w:div>
    <w:div w:id="333993030">
      <w:bodyDiv w:val="1"/>
      <w:marLeft w:val="0"/>
      <w:marRight w:val="0"/>
      <w:marTop w:val="0"/>
      <w:marBottom w:val="0"/>
      <w:divBdr>
        <w:top w:val="none" w:sz="0" w:space="0" w:color="auto"/>
        <w:left w:val="none" w:sz="0" w:space="0" w:color="auto"/>
        <w:bottom w:val="none" w:sz="0" w:space="0" w:color="auto"/>
        <w:right w:val="none" w:sz="0" w:space="0" w:color="auto"/>
      </w:divBdr>
    </w:div>
    <w:div w:id="358941212">
      <w:bodyDiv w:val="1"/>
      <w:marLeft w:val="0"/>
      <w:marRight w:val="0"/>
      <w:marTop w:val="0"/>
      <w:marBottom w:val="0"/>
      <w:divBdr>
        <w:top w:val="none" w:sz="0" w:space="0" w:color="auto"/>
        <w:left w:val="none" w:sz="0" w:space="0" w:color="auto"/>
        <w:bottom w:val="none" w:sz="0" w:space="0" w:color="auto"/>
        <w:right w:val="none" w:sz="0" w:space="0" w:color="auto"/>
      </w:divBdr>
    </w:div>
    <w:div w:id="376854542">
      <w:bodyDiv w:val="1"/>
      <w:marLeft w:val="0"/>
      <w:marRight w:val="0"/>
      <w:marTop w:val="0"/>
      <w:marBottom w:val="0"/>
      <w:divBdr>
        <w:top w:val="none" w:sz="0" w:space="0" w:color="auto"/>
        <w:left w:val="none" w:sz="0" w:space="0" w:color="auto"/>
        <w:bottom w:val="none" w:sz="0" w:space="0" w:color="auto"/>
        <w:right w:val="none" w:sz="0" w:space="0" w:color="auto"/>
      </w:divBdr>
    </w:div>
    <w:div w:id="424154430">
      <w:bodyDiv w:val="1"/>
      <w:marLeft w:val="0"/>
      <w:marRight w:val="0"/>
      <w:marTop w:val="0"/>
      <w:marBottom w:val="0"/>
      <w:divBdr>
        <w:top w:val="none" w:sz="0" w:space="0" w:color="auto"/>
        <w:left w:val="none" w:sz="0" w:space="0" w:color="auto"/>
        <w:bottom w:val="none" w:sz="0" w:space="0" w:color="auto"/>
        <w:right w:val="none" w:sz="0" w:space="0" w:color="auto"/>
      </w:divBdr>
    </w:div>
    <w:div w:id="427577874">
      <w:bodyDiv w:val="1"/>
      <w:marLeft w:val="0"/>
      <w:marRight w:val="0"/>
      <w:marTop w:val="0"/>
      <w:marBottom w:val="0"/>
      <w:divBdr>
        <w:top w:val="none" w:sz="0" w:space="0" w:color="auto"/>
        <w:left w:val="none" w:sz="0" w:space="0" w:color="auto"/>
        <w:bottom w:val="none" w:sz="0" w:space="0" w:color="auto"/>
        <w:right w:val="none" w:sz="0" w:space="0" w:color="auto"/>
      </w:divBdr>
    </w:div>
    <w:div w:id="436213426">
      <w:bodyDiv w:val="1"/>
      <w:marLeft w:val="0"/>
      <w:marRight w:val="0"/>
      <w:marTop w:val="0"/>
      <w:marBottom w:val="0"/>
      <w:divBdr>
        <w:top w:val="none" w:sz="0" w:space="0" w:color="auto"/>
        <w:left w:val="none" w:sz="0" w:space="0" w:color="auto"/>
        <w:bottom w:val="none" w:sz="0" w:space="0" w:color="auto"/>
        <w:right w:val="none" w:sz="0" w:space="0" w:color="auto"/>
      </w:divBdr>
    </w:div>
    <w:div w:id="445127803">
      <w:bodyDiv w:val="1"/>
      <w:marLeft w:val="0"/>
      <w:marRight w:val="0"/>
      <w:marTop w:val="0"/>
      <w:marBottom w:val="0"/>
      <w:divBdr>
        <w:top w:val="none" w:sz="0" w:space="0" w:color="auto"/>
        <w:left w:val="none" w:sz="0" w:space="0" w:color="auto"/>
        <w:bottom w:val="none" w:sz="0" w:space="0" w:color="auto"/>
        <w:right w:val="none" w:sz="0" w:space="0" w:color="auto"/>
      </w:divBdr>
    </w:div>
    <w:div w:id="461850877">
      <w:bodyDiv w:val="1"/>
      <w:marLeft w:val="0"/>
      <w:marRight w:val="0"/>
      <w:marTop w:val="0"/>
      <w:marBottom w:val="0"/>
      <w:divBdr>
        <w:top w:val="none" w:sz="0" w:space="0" w:color="auto"/>
        <w:left w:val="none" w:sz="0" w:space="0" w:color="auto"/>
        <w:bottom w:val="none" w:sz="0" w:space="0" w:color="auto"/>
        <w:right w:val="none" w:sz="0" w:space="0" w:color="auto"/>
      </w:divBdr>
    </w:div>
    <w:div w:id="464661571">
      <w:bodyDiv w:val="1"/>
      <w:marLeft w:val="0"/>
      <w:marRight w:val="0"/>
      <w:marTop w:val="0"/>
      <w:marBottom w:val="0"/>
      <w:divBdr>
        <w:top w:val="none" w:sz="0" w:space="0" w:color="auto"/>
        <w:left w:val="none" w:sz="0" w:space="0" w:color="auto"/>
        <w:bottom w:val="none" w:sz="0" w:space="0" w:color="auto"/>
        <w:right w:val="none" w:sz="0" w:space="0" w:color="auto"/>
      </w:divBdr>
    </w:div>
    <w:div w:id="471292745">
      <w:bodyDiv w:val="1"/>
      <w:marLeft w:val="0"/>
      <w:marRight w:val="0"/>
      <w:marTop w:val="0"/>
      <w:marBottom w:val="0"/>
      <w:divBdr>
        <w:top w:val="none" w:sz="0" w:space="0" w:color="auto"/>
        <w:left w:val="none" w:sz="0" w:space="0" w:color="auto"/>
        <w:bottom w:val="none" w:sz="0" w:space="0" w:color="auto"/>
        <w:right w:val="none" w:sz="0" w:space="0" w:color="auto"/>
      </w:divBdr>
    </w:div>
    <w:div w:id="491219173">
      <w:bodyDiv w:val="1"/>
      <w:marLeft w:val="0"/>
      <w:marRight w:val="0"/>
      <w:marTop w:val="0"/>
      <w:marBottom w:val="0"/>
      <w:divBdr>
        <w:top w:val="none" w:sz="0" w:space="0" w:color="auto"/>
        <w:left w:val="none" w:sz="0" w:space="0" w:color="auto"/>
        <w:bottom w:val="none" w:sz="0" w:space="0" w:color="auto"/>
        <w:right w:val="none" w:sz="0" w:space="0" w:color="auto"/>
      </w:divBdr>
    </w:div>
    <w:div w:id="491482000">
      <w:bodyDiv w:val="1"/>
      <w:marLeft w:val="0"/>
      <w:marRight w:val="0"/>
      <w:marTop w:val="0"/>
      <w:marBottom w:val="0"/>
      <w:divBdr>
        <w:top w:val="none" w:sz="0" w:space="0" w:color="auto"/>
        <w:left w:val="none" w:sz="0" w:space="0" w:color="auto"/>
        <w:bottom w:val="none" w:sz="0" w:space="0" w:color="auto"/>
        <w:right w:val="none" w:sz="0" w:space="0" w:color="auto"/>
      </w:divBdr>
    </w:div>
    <w:div w:id="506406611">
      <w:bodyDiv w:val="1"/>
      <w:marLeft w:val="0"/>
      <w:marRight w:val="0"/>
      <w:marTop w:val="0"/>
      <w:marBottom w:val="0"/>
      <w:divBdr>
        <w:top w:val="none" w:sz="0" w:space="0" w:color="auto"/>
        <w:left w:val="none" w:sz="0" w:space="0" w:color="auto"/>
        <w:bottom w:val="none" w:sz="0" w:space="0" w:color="auto"/>
        <w:right w:val="none" w:sz="0" w:space="0" w:color="auto"/>
      </w:divBdr>
    </w:div>
    <w:div w:id="582108084">
      <w:bodyDiv w:val="1"/>
      <w:marLeft w:val="0"/>
      <w:marRight w:val="0"/>
      <w:marTop w:val="0"/>
      <w:marBottom w:val="0"/>
      <w:divBdr>
        <w:top w:val="none" w:sz="0" w:space="0" w:color="auto"/>
        <w:left w:val="none" w:sz="0" w:space="0" w:color="auto"/>
        <w:bottom w:val="none" w:sz="0" w:space="0" w:color="auto"/>
        <w:right w:val="none" w:sz="0" w:space="0" w:color="auto"/>
      </w:divBdr>
    </w:div>
    <w:div w:id="617756492">
      <w:bodyDiv w:val="1"/>
      <w:marLeft w:val="0"/>
      <w:marRight w:val="0"/>
      <w:marTop w:val="0"/>
      <w:marBottom w:val="0"/>
      <w:divBdr>
        <w:top w:val="none" w:sz="0" w:space="0" w:color="auto"/>
        <w:left w:val="none" w:sz="0" w:space="0" w:color="auto"/>
        <w:bottom w:val="none" w:sz="0" w:space="0" w:color="auto"/>
        <w:right w:val="none" w:sz="0" w:space="0" w:color="auto"/>
      </w:divBdr>
    </w:div>
    <w:div w:id="617759019">
      <w:bodyDiv w:val="1"/>
      <w:marLeft w:val="0"/>
      <w:marRight w:val="0"/>
      <w:marTop w:val="0"/>
      <w:marBottom w:val="0"/>
      <w:divBdr>
        <w:top w:val="none" w:sz="0" w:space="0" w:color="auto"/>
        <w:left w:val="none" w:sz="0" w:space="0" w:color="auto"/>
        <w:bottom w:val="none" w:sz="0" w:space="0" w:color="auto"/>
        <w:right w:val="none" w:sz="0" w:space="0" w:color="auto"/>
      </w:divBdr>
    </w:div>
    <w:div w:id="645208165">
      <w:bodyDiv w:val="1"/>
      <w:marLeft w:val="0"/>
      <w:marRight w:val="0"/>
      <w:marTop w:val="0"/>
      <w:marBottom w:val="0"/>
      <w:divBdr>
        <w:top w:val="none" w:sz="0" w:space="0" w:color="auto"/>
        <w:left w:val="none" w:sz="0" w:space="0" w:color="auto"/>
        <w:bottom w:val="none" w:sz="0" w:space="0" w:color="auto"/>
        <w:right w:val="none" w:sz="0" w:space="0" w:color="auto"/>
      </w:divBdr>
    </w:div>
    <w:div w:id="676272331">
      <w:bodyDiv w:val="1"/>
      <w:marLeft w:val="0"/>
      <w:marRight w:val="0"/>
      <w:marTop w:val="0"/>
      <w:marBottom w:val="0"/>
      <w:divBdr>
        <w:top w:val="none" w:sz="0" w:space="0" w:color="auto"/>
        <w:left w:val="none" w:sz="0" w:space="0" w:color="auto"/>
        <w:bottom w:val="none" w:sz="0" w:space="0" w:color="auto"/>
        <w:right w:val="none" w:sz="0" w:space="0" w:color="auto"/>
      </w:divBdr>
    </w:div>
    <w:div w:id="724719686">
      <w:bodyDiv w:val="1"/>
      <w:marLeft w:val="0"/>
      <w:marRight w:val="0"/>
      <w:marTop w:val="0"/>
      <w:marBottom w:val="0"/>
      <w:divBdr>
        <w:top w:val="none" w:sz="0" w:space="0" w:color="auto"/>
        <w:left w:val="none" w:sz="0" w:space="0" w:color="auto"/>
        <w:bottom w:val="none" w:sz="0" w:space="0" w:color="auto"/>
        <w:right w:val="none" w:sz="0" w:space="0" w:color="auto"/>
      </w:divBdr>
    </w:div>
    <w:div w:id="849880499">
      <w:bodyDiv w:val="1"/>
      <w:marLeft w:val="0"/>
      <w:marRight w:val="0"/>
      <w:marTop w:val="0"/>
      <w:marBottom w:val="0"/>
      <w:divBdr>
        <w:top w:val="none" w:sz="0" w:space="0" w:color="auto"/>
        <w:left w:val="none" w:sz="0" w:space="0" w:color="auto"/>
        <w:bottom w:val="none" w:sz="0" w:space="0" w:color="auto"/>
        <w:right w:val="none" w:sz="0" w:space="0" w:color="auto"/>
      </w:divBdr>
    </w:div>
    <w:div w:id="854655288">
      <w:bodyDiv w:val="1"/>
      <w:marLeft w:val="0"/>
      <w:marRight w:val="0"/>
      <w:marTop w:val="0"/>
      <w:marBottom w:val="0"/>
      <w:divBdr>
        <w:top w:val="none" w:sz="0" w:space="0" w:color="auto"/>
        <w:left w:val="none" w:sz="0" w:space="0" w:color="auto"/>
        <w:bottom w:val="none" w:sz="0" w:space="0" w:color="auto"/>
        <w:right w:val="none" w:sz="0" w:space="0" w:color="auto"/>
      </w:divBdr>
    </w:div>
    <w:div w:id="904528207">
      <w:bodyDiv w:val="1"/>
      <w:marLeft w:val="0"/>
      <w:marRight w:val="0"/>
      <w:marTop w:val="0"/>
      <w:marBottom w:val="0"/>
      <w:divBdr>
        <w:top w:val="none" w:sz="0" w:space="0" w:color="auto"/>
        <w:left w:val="none" w:sz="0" w:space="0" w:color="auto"/>
        <w:bottom w:val="none" w:sz="0" w:space="0" w:color="auto"/>
        <w:right w:val="none" w:sz="0" w:space="0" w:color="auto"/>
      </w:divBdr>
    </w:div>
    <w:div w:id="918715645">
      <w:bodyDiv w:val="1"/>
      <w:marLeft w:val="0"/>
      <w:marRight w:val="0"/>
      <w:marTop w:val="0"/>
      <w:marBottom w:val="0"/>
      <w:divBdr>
        <w:top w:val="none" w:sz="0" w:space="0" w:color="auto"/>
        <w:left w:val="none" w:sz="0" w:space="0" w:color="auto"/>
        <w:bottom w:val="none" w:sz="0" w:space="0" w:color="auto"/>
        <w:right w:val="none" w:sz="0" w:space="0" w:color="auto"/>
      </w:divBdr>
    </w:div>
    <w:div w:id="935482668">
      <w:bodyDiv w:val="1"/>
      <w:marLeft w:val="0"/>
      <w:marRight w:val="0"/>
      <w:marTop w:val="0"/>
      <w:marBottom w:val="0"/>
      <w:divBdr>
        <w:top w:val="none" w:sz="0" w:space="0" w:color="auto"/>
        <w:left w:val="none" w:sz="0" w:space="0" w:color="auto"/>
        <w:bottom w:val="none" w:sz="0" w:space="0" w:color="auto"/>
        <w:right w:val="none" w:sz="0" w:space="0" w:color="auto"/>
      </w:divBdr>
    </w:div>
    <w:div w:id="938945219">
      <w:bodyDiv w:val="1"/>
      <w:marLeft w:val="0"/>
      <w:marRight w:val="0"/>
      <w:marTop w:val="0"/>
      <w:marBottom w:val="0"/>
      <w:divBdr>
        <w:top w:val="none" w:sz="0" w:space="0" w:color="auto"/>
        <w:left w:val="none" w:sz="0" w:space="0" w:color="auto"/>
        <w:bottom w:val="none" w:sz="0" w:space="0" w:color="auto"/>
        <w:right w:val="none" w:sz="0" w:space="0" w:color="auto"/>
      </w:divBdr>
    </w:div>
    <w:div w:id="942035931">
      <w:bodyDiv w:val="1"/>
      <w:marLeft w:val="0"/>
      <w:marRight w:val="0"/>
      <w:marTop w:val="0"/>
      <w:marBottom w:val="0"/>
      <w:divBdr>
        <w:top w:val="none" w:sz="0" w:space="0" w:color="auto"/>
        <w:left w:val="none" w:sz="0" w:space="0" w:color="auto"/>
        <w:bottom w:val="none" w:sz="0" w:space="0" w:color="auto"/>
        <w:right w:val="none" w:sz="0" w:space="0" w:color="auto"/>
      </w:divBdr>
    </w:div>
    <w:div w:id="954676876">
      <w:bodyDiv w:val="1"/>
      <w:marLeft w:val="0"/>
      <w:marRight w:val="0"/>
      <w:marTop w:val="0"/>
      <w:marBottom w:val="0"/>
      <w:divBdr>
        <w:top w:val="none" w:sz="0" w:space="0" w:color="auto"/>
        <w:left w:val="none" w:sz="0" w:space="0" w:color="auto"/>
        <w:bottom w:val="none" w:sz="0" w:space="0" w:color="auto"/>
        <w:right w:val="none" w:sz="0" w:space="0" w:color="auto"/>
      </w:divBdr>
    </w:div>
    <w:div w:id="954942062">
      <w:bodyDiv w:val="1"/>
      <w:marLeft w:val="0"/>
      <w:marRight w:val="0"/>
      <w:marTop w:val="0"/>
      <w:marBottom w:val="0"/>
      <w:divBdr>
        <w:top w:val="none" w:sz="0" w:space="0" w:color="auto"/>
        <w:left w:val="none" w:sz="0" w:space="0" w:color="auto"/>
        <w:bottom w:val="none" w:sz="0" w:space="0" w:color="auto"/>
        <w:right w:val="none" w:sz="0" w:space="0" w:color="auto"/>
      </w:divBdr>
    </w:div>
    <w:div w:id="964577041">
      <w:bodyDiv w:val="1"/>
      <w:marLeft w:val="0"/>
      <w:marRight w:val="0"/>
      <w:marTop w:val="0"/>
      <w:marBottom w:val="0"/>
      <w:divBdr>
        <w:top w:val="none" w:sz="0" w:space="0" w:color="auto"/>
        <w:left w:val="none" w:sz="0" w:space="0" w:color="auto"/>
        <w:bottom w:val="none" w:sz="0" w:space="0" w:color="auto"/>
        <w:right w:val="none" w:sz="0" w:space="0" w:color="auto"/>
      </w:divBdr>
    </w:div>
    <w:div w:id="972642242">
      <w:bodyDiv w:val="1"/>
      <w:marLeft w:val="0"/>
      <w:marRight w:val="0"/>
      <w:marTop w:val="0"/>
      <w:marBottom w:val="0"/>
      <w:divBdr>
        <w:top w:val="none" w:sz="0" w:space="0" w:color="auto"/>
        <w:left w:val="none" w:sz="0" w:space="0" w:color="auto"/>
        <w:bottom w:val="none" w:sz="0" w:space="0" w:color="auto"/>
        <w:right w:val="none" w:sz="0" w:space="0" w:color="auto"/>
      </w:divBdr>
    </w:div>
    <w:div w:id="1025136382">
      <w:bodyDiv w:val="1"/>
      <w:marLeft w:val="0"/>
      <w:marRight w:val="0"/>
      <w:marTop w:val="0"/>
      <w:marBottom w:val="0"/>
      <w:divBdr>
        <w:top w:val="none" w:sz="0" w:space="0" w:color="auto"/>
        <w:left w:val="none" w:sz="0" w:space="0" w:color="auto"/>
        <w:bottom w:val="none" w:sz="0" w:space="0" w:color="auto"/>
        <w:right w:val="none" w:sz="0" w:space="0" w:color="auto"/>
      </w:divBdr>
    </w:div>
    <w:div w:id="1128930882">
      <w:bodyDiv w:val="1"/>
      <w:marLeft w:val="0"/>
      <w:marRight w:val="0"/>
      <w:marTop w:val="0"/>
      <w:marBottom w:val="0"/>
      <w:divBdr>
        <w:top w:val="none" w:sz="0" w:space="0" w:color="auto"/>
        <w:left w:val="none" w:sz="0" w:space="0" w:color="auto"/>
        <w:bottom w:val="none" w:sz="0" w:space="0" w:color="auto"/>
        <w:right w:val="none" w:sz="0" w:space="0" w:color="auto"/>
      </w:divBdr>
    </w:div>
    <w:div w:id="1137070015">
      <w:bodyDiv w:val="1"/>
      <w:marLeft w:val="0"/>
      <w:marRight w:val="0"/>
      <w:marTop w:val="0"/>
      <w:marBottom w:val="0"/>
      <w:divBdr>
        <w:top w:val="none" w:sz="0" w:space="0" w:color="auto"/>
        <w:left w:val="none" w:sz="0" w:space="0" w:color="auto"/>
        <w:bottom w:val="none" w:sz="0" w:space="0" w:color="auto"/>
        <w:right w:val="none" w:sz="0" w:space="0" w:color="auto"/>
      </w:divBdr>
    </w:div>
    <w:div w:id="1151019898">
      <w:bodyDiv w:val="1"/>
      <w:marLeft w:val="0"/>
      <w:marRight w:val="0"/>
      <w:marTop w:val="0"/>
      <w:marBottom w:val="0"/>
      <w:divBdr>
        <w:top w:val="none" w:sz="0" w:space="0" w:color="auto"/>
        <w:left w:val="none" w:sz="0" w:space="0" w:color="auto"/>
        <w:bottom w:val="none" w:sz="0" w:space="0" w:color="auto"/>
        <w:right w:val="none" w:sz="0" w:space="0" w:color="auto"/>
      </w:divBdr>
    </w:div>
    <w:div w:id="1164198019">
      <w:bodyDiv w:val="1"/>
      <w:marLeft w:val="0"/>
      <w:marRight w:val="0"/>
      <w:marTop w:val="0"/>
      <w:marBottom w:val="0"/>
      <w:divBdr>
        <w:top w:val="none" w:sz="0" w:space="0" w:color="auto"/>
        <w:left w:val="none" w:sz="0" w:space="0" w:color="auto"/>
        <w:bottom w:val="none" w:sz="0" w:space="0" w:color="auto"/>
        <w:right w:val="none" w:sz="0" w:space="0" w:color="auto"/>
      </w:divBdr>
    </w:div>
    <w:div w:id="1175806473">
      <w:bodyDiv w:val="1"/>
      <w:marLeft w:val="0"/>
      <w:marRight w:val="0"/>
      <w:marTop w:val="0"/>
      <w:marBottom w:val="0"/>
      <w:divBdr>
        <w:top w:val="none" w:sz="0" w:space="0" w:color="auto"/>
        <w:left w:val="none" w:sz="0" w:space="0" w:color="auto"/>
        <w:bottom w:val="none" w:sz="0" w:space="0" w:color="auto"/>
        <w:right w:val="none" w:sz="0" w:space="0" w:color="auto"/>
      </w:divBdr>
    </w:div>
    <w:div w:id="1177042627">
      <w:bodyDiv w:val="1"/>
      <w:marLeft w:val="0"/>
      <w:marRight w:val="0"/>
      <w:marTop w:val="0"/>
      <w:marBottom w:val="0"/>
      <w:divBdr>
        <w:top w:val="none" w:sz="0" w:space="0" w:color="auto"/>
        <w:left w:val="none" w:sz="0" w:space="0" w:color="auto"/>
        <w:bottom w:val="none" w:sz="0" w:space="0" w:color="auto"/>
        <w:right w:val="none" w:sz="0" w:space="0" w:color="auto"/>
      </w:divBdr>
    </w:div>
    <w:div w:id="1273324299">
      <w:bodyDiv w:val="1"/>
      <w:marLeft w:val="0"/>
      <w:marRight w:val="0"/>
      <w:marTop w:val="0"/>
      <w:marBottom w:val="0"/>
      <w:divBdr>
        <w:top w:val="none" w:sz="0" w:space="0" w:color="auto"/>
        <w:left w:val="none" w:sz="0" w:space="0" w:color="auto"/>
        <w:bottom w:val="none" w:sz="0" w:space="0" w:color="auto"/>
        <w:right w:val="none" w:sz="0" w:space="0" w:color="auto"/>
      </w:divBdr>
    </w:div>
    <w:div w:id="1292175544">
      <w:bodyDiv w:val="1"/>
      <w:marLeft w:val="0"/>
      <w:marRight w:val="0"/>
      <w:marTop w:val="0"/>
      <w:marBottom w:val="0"/>
      <w:divBdr>
        <w:top w:val="none" w:sz="0" w:space="0" w:color="auto"/>
        <w:left w:val="none" w:sz="0" w:space="0" w:color="auto"/>
        <w:bottom w:val="none" w:sz="0" w:space="0" w:color="auto"/>
        <w:right w:val="none" w:sz="0" w:space="0" w:color="auto"/>
      </w:divBdr>
    </w:div>
    <w:div w:id="1307786119">
      <w:bodyDiv w:val="1"/>
      <w:marLeft w:val="0"/>
      <w:marRight w:val="0"/>
      <w:marTop w:val="0"/>
      <w:marBottom w:val="0"/>
      <w:divBdr>
        <w:top w:val="none" w:sz="0" w:space="0" w:color="auto"/>
        <w:left w:val="none" w:sz="0" w:space="0" w:color="auto"/>
        <w:bottom w:val="none" w:sz="0" w:space="0" w:color="auto"/>
        <w:right w:val="none" w:sz="0" w:space="0" w:color="auto"/>
      </w:divBdr>
    </w:div>
    <w:div w:id="1346253210">
      <w:bodyDiv w:val="1"/>
      <w:marLeft w:val="0"/>
      <w:marRight w:val="0"/>
      <w:marTop w:val="0"/>
      <w:marBottom w:val="0"/>
      <w:divBdr>
        <w:top w:val="none" w:sz="0" w:space="0" w:color="auto"/>
        <w:left w:val="none" w:sz="0" w:space="0" w:color="auto"/>
        <w:bottom w:val="none" w:sz="0" w:space="0" w:color="auto"/>
        <w:right w:val="none" w:sz="0" w:space="0" w:color="auto"/>
      </w:divBdr>
    </w:div>
    <w:div w:id="1366563926">
      <w:bodyDiv w:val="1"/>
      <w:marLeft w:val="0"/>
      <w:marRight w:val="0"/>
      <w:marTop w:val="0"/>
      <w:marBottom w:val="0"/>
      <w:divBdr>
        <w:top w:val="none" w:sz="0" w:space="0" w:color="auto"/>
        <w:left w:val="none" w:sz="0" w:space="0" w:color="auto"/>
        <w:bottom w:val="none" w:sz="0" w:space="0" w:color="auto"/>
        <w:right w:val="none" w:sz="0" w:space="0" w:color="auto"/>
      </w:divBdr>
    </w:div>
    <w:div w:id="1374965765">
      <w:bodyDiv w:val="1"/>
      <w:marLeft w:val="0"/>
      <w:marRight w:val="0"/>
      <w:marTop w:val="0"/>
      <w:marBottom w:val="0"/>
      <w:divBdr>
        <w:top w:val="none" w:sz="0" w:space="0" w:color="auto"/>
        <w:left w:val="none" w:sz="0" w:space="0" w:color="auto"/>
        <w:bottom w:val="none" w:sz="0" w:space="0" w:color="auto"/>
        <w:right w:val="none" w:sz="0" w:space="0" w:color="auto"/>
      </w:divBdr>
    </w:div>
    <w:div w:id="1397046219">
      <w:bodyDiv w:val="1"/>
      <w:marLeft w:val="0"/>
      <w:marRight w:val="0"/>
      <w:marTop w:val="0"/>
      <w:marBottom w:val="0"/>
      <w:divBdr>
        <w:top w:val="none" w:sz="0" w:space="0" w:color="auto"/>
        <w:left w:val="none" w:sz="0" w:space="0" w:color="auto"/>
        <w:bottom w:val="none" w:sz="0" w:space="0" w:color="auto"/>
        <w:right w:val="none" w:sz="0" w:space="0" w:color="auto"/>
      </w:divBdr>
    </w:div>
    <w:div w:id="1420365663">
      <w:bodyDiv w:val="1"/>
      <w:marLeft w:val="0"/>
      <w:marRight w:val="0"/>
      <w:marTop w:val="0"/>
      <w:marBottom w:val="0"/>
      <w:divBdr>
        <w:top w:val="none" w:sz="0" w:space="0" w:color="auto"/>
        <w:left w:val="none" w:sz="0" w:space="0" w:color="auto"/>
        <w:bottom w:val="none" w:sz="0" w:space="0" w:color="auto"/>
        <w:right w:val="none" w:sz="0" w:space="0" w:color="auto"/>
      </w:divBdr>
    </w:div>
    <w:div w:id="1475443381">
      <w:bodyDiv w:val="1"/>
      <w:marLeft w:val="0"/>
      <w:marRight w:val="0"/>
      <w:marTop w:val="0"/>
      <w:marBottom w:val="0"/>
      <w:divBdr>
        <w:top w:val="none" w:sz="0" w:space="0" w:color="auto"/>
        <w:left w:val="none" w:sz="0" w:space="0" w:color="auto"/>
        <w:bottom w:val="none" w:sz="0" w:space="0" w:color="auto"/>
        <w:right w:val="none" w:sz="0" w:space="0" w:color="auto"/>
      </w:divBdr>
    </w:div>
    <w:div w:id="1487622141">
      <w:bodyDiv w:val="1"/>
      <w:marLeft w:val="0"/>
      <w:marRight w:val="0"/>
      <w:marTop w:val="0"/>
      <w:marBottom w:val="0"/>
      <w:divBdr>
        <w:top w:val="none" w:sz="0" w:space="0" w:color="auto"/>
        <w:left w:val="none" w:sz="0" w:space="0" w:color="auto"/>
        <w:bottom w:val="none" w:sz="0" w:space="0" w:color="auto"/>
        <w:right w:val="none" w:sz="0" w:space="0" w:color="auto"/>
      </w:divBdr>
    </w:div>
    <w:div w:id="1513646759">
      <w:bodyDiv w:val="1"/>
      <w:marLeft w:val="0"/>
      <w:marRight w:val="0"/>
      <w:marTop w:val="0"/>
      <w:marBottom w:val="0"/>
      <w:divBdr>
        <w:top w:val="none" w:sz="0" w:space="0" w:color="auto"/>
        <w:left w:val="none" w:sz="0" w:space="0" w:color="auto"/>
        <w:bottom w:val="none" w:sz="0" w:space="0" w:color="auto"/>
        <w:right w:val="none" w:sz="0" w:space="0" w:color="auto"/>
      </w:divBdr>
    </w:div>
    <w:div w:id="1517649333">
      <w:bodyDiv w:val="1"/>
      <w:marLeft w:val="0"/>
      <w:marRight w:val="0"/>
      <w:marTop w:val="0"/>
      <w:marBottom w:val="0"/>
      <w:divBdr>
        <w:top w:val="none" w:sz="0" w:space="0" w:color="auto"/>
        <w:left w:val="none" w:sz="0" w:space="0" w:color="auto"/>
        <w:bottom w:val="none" w:sz="0" w:space="0" w:color="auto"/>
        <w:right w:val="none" w:sz="0" w:space="0" w:color="auto"/>
      </w:divBdr>
    </w:div>
    <w:div w:id="1524828187">
      <w:bodyDiv w:val="1"/>
      <w:marLeft w:val="0"/>
      <w:marRight w:val="0"/>
      <w:marTop w:val="0"/>
      <w:marBottom w:val="0"/>
      <w:divBdr>
        <w:top w:val="none" w:sz="0" w:space="0" w:color="auto"/>
        <w:left w:val="none" w:sz="0" w:space="0" w:color="auto"/>
        <w:bottom w:val="none" w:sz="0" w:space="0" w:color="auto"/>
        <w:right w:val="none" w:sz="0" w:space="0" w:color="auto"/>
      </w:divBdr>
    </w:div>
    <w:div w:id="1541627972">
      <w:bodyDiv w:val="1"/>
      <w:marLeft w:val="0"/>
      <w:marRight w:val="0"/>
      <w:marTop w:val="0"/>
      <w:marBottom w:val="0"/>
      <w:divBdr>
        <w:top w:val="none" w:sz="0" w:space="0" w:color="auto"/>
        <w:left w:val="none" w:sz="0" w:space="0" w:color="auto"/>
        <w:bottom w:val="none" w:sz="0" w:space="0" w:color="auto"/>
        <w:right w:val="none" w:sz="0" w:space="0" w:color="auto"/>
      </w:divBdr>
    </w:div>
    <w:div w:id="1622956437">
      <w:bodyDiv w:val="1"/>
      <w:marLeft w:val="0"/>
      <w:marRight w:val="0"/>
      <w:marTop w:val="0"/>
      <w:marBottom w:val="0"/>
      <w:divBdr>
        <w:top w:val="none" w:sz="0" w:space="0" w:color="auto"/>
        <w:left w:val="none" w:sz="0" w:space="0" w:color="auto"/>
        <w:bottom w:val="none" w:sz="0" w:space="0" w:color="auto"/>
        <w:right w:val="none" w:sz="0" w:space="0" w:color="auto"/>
      </w:divBdr>
    </w:div>
    <w:div w:id="1667854792">
      <w:bodyDiv w:val="1"/>
      <w:marLeft w:val="0"/>
      <w:marRight w:val="0"/>
      <w:marTop w:val="0"/>
      <w:marBottom w:val="0"/>
      <w:divBdr>
        <w:top w:val="none" w:sz="0" w:space="0" w:color="auto"/>
        <w:left w:val="none" w:sz="0" w:space="0" w:color="auto"/>
        <w:bottom w:val="none" w:sz="0" w:space="0" w:color="auto"/>
        <w:right w:val="none" w:sz="0" w:space="0" w:color="auto"/>
      </w:divBdr>
    </w:div>
    <w:div w:id="1773014177">
      <w:bodyDiv w:val="1"/>
      <w:marLeft w:val="0"/>
      <w:marRight w:val="0"/>
      <w:marTop w:val="0"/>
      <w:marBottom w:val="0"/>
      <w:divBdr>
        <w:top w:val="none" w:sz="0" w:space="0" w:color="auto"/>
        <w:left w:val="none" w:sz="0" w:space="0" w:color="auto"/>
        <w:bottom w:val="none" w:sz="0" w:space="0" w:color="auto"/>
        <w:right w:val="none" w:sz="0" w:space="0" w:color="auto"/>
      </w:divBdr>
    </w:div>
    <w:div w:id="1784685091">
      <w:bodyDiv w:val="1"/>
      <w:marLeft w:val="0"/>
      <w:marRight w:val="0"/>
      <w:marTop w:val="0"/>
      <w:marBottom w:val="0"/>
      <w:divBdr>
        <w:top w:val="none" w:sz="0" w:space="0" w:color="auto"/>
        <w:left w:val="none" w:sz="0" w:space="0" w:color="auto"/>
        <w:bottom w:val="none" w:sz="0" w:space="0" w:color="auto"/>
        <w:right w:val="none" w:sz="0" w:space="0" w:color="auto"/>
      </w:divBdr>
    </w:div>
    <w:div w:id="1788768948">
      <w:bodyDiv w:val="1"/>
      <w:marLeft w:val="0"/>
      <w:marRight w:val="0"/>
      <w:marTop w:val="0"/>
      <w:marBottom w:val="0"/>
      <w:divBdr>
        <w:top w:val="none" w:sz="0" w:space="0" w:color="auto"/>
        <w:left w:val="none" w:sz="0" w:space="0" w:color="auto"/>
        <w:bottom w:val="none" w:sz="0" w:space="0" w:color="auto"/>
        <w:right w:val="none" w:sz="0" w:space="0" w:color="auto"/>
      </w:divBdr>
    </w:div>
    <w:div w:id="1830319557">
      <w:bodyDiv w:val="1"/>
      <w:marLeft w:val="0"/>
      <w:marRight w:val="0"/>
      <w:marTop w:val="0"/>
      <w:marBottom w:val="0"/>
      <w:divBdr>
        <w:top w:val="none" w:sz="0" w:space="0" w:color="auto"/>
        <w:left w:val="none" w:sz="0" w:space="0" w:color="auto"/>
        <w:bottom w:val="none" w:sz="0" w:space="0" w:color="auto"/>
        <w:right w:val="none" w:sz="0" w:space="0" w:color="auto"/>
      </w:divBdr>
    </w:div>
    <w:div w:id="1846169068">
      <w:bodyDiv w:val="1"/>
      <w:marLeft w:val="0"/>
      <w:marRight w:val="0"/>
      <w:marTop w:val="0"/>
      <w:marBottom w:val="0"/>
      <w:divBdr>
        <w:top w:val="none" w:sz="0" w:space="0" w:color="auto"/>
        <w:left w:val="none" w:sz="0" w:space="0" w:color="auto"/>
        <w:bottom w:val="none" w:sz="0" w:space="0" w:color="auto"/>
        <w:right w:val="none" w:sz="0" w:space="0" w:color="auto"/>
      </w:divBdr>
    </w:div>
    <w:div w:id="1894349553">
      <w:bodyDiv w:val="1"/>
      <w:marLeft w:val="0"/>
      <w:marRight w:val="0"/>
      <w:marTop w:val="0"/>
      <w:marBottom w:val="0"/>
      <w:divBdr>
        <w:top w:val="none" w:sz="0" w:space="0" w:color="auto"/>
        <w:left w:val="none" w:sz="0" w:space="0" w:color="auto"/>
        <w:bottom w:val="none" w:sz="0" w:space="0" w:color="auto"/>
        <w:right w:val="none" w:sz="0" w:space="0" w:color="auto"/>
      </w:divBdr>
    </w:div>
    <w:div w:id="1977250190">
      <w:bodyDiv w:val="1"/>
      <w:marLeft w:val="0"/>
      <w:marRight w:val="0"/>
      <w:marTop w:val="0"/>
      <w:marBottom w:val="0"/>
      <w:divBdr>
        <w:top w:val="none" w:sz="0" w:space="0" w:color="auto"/>
        <w:left w:val="none" w:sz="0" w:space="0" w:color="auto"/>
        <w:bottom w:val="none" w:sz="0" w:space="0" w:color="auto"/>
        <w:right w:val="none" w:sz="0" w:space="0" w:color="auto"/>
      </w:divBdr>
    </w:div>
    <w:div w:id="1996833901">
      <w:bodyDiv w:val="1"/>
      <w:marLeft w:val="0"/>
      <w:marRight w:val="0"/>
      <w:marTop w:val="0"/>
      <w:marBottom w:val="0"/>
      <w:divBdr>
        <w:top w:val="none" w:sz="0" w:space="0" w:color="auto"/>
        <w:left w:val="none" w:sz="0" w:space="0" w:color="auto"/>
        <w:bottom w:val="none" w:sz="0" w:space="0" w:color="auto"/>
        <w:right w:val="none" w:sz="0" w:space="0" w:color="auto"/>
      </w:divBdr>
    </w:div>
    <w:div w:id="2000502208">
      <w:bodyDiv w:val="1"/>
      <w:marLeft w:val="0"/>
      <w:marRight w:val="0"/>
      <w:marTop w:val="0"/>
      <w:marBottom w:val="0"/>
      <w:divBdr>
        <w:top w:val="none" w:sz="0" w:space="0" w:color="auto"/>
        <w:left w:val="none" w:sz="0" w:space="0" w:color="auto"/>
        <w:bottom w:val="none" w:sz="0" w:space="0" w:color="auto"/>
        <w:right w:val="none" w:sz="0" w:space="0" w:color="auto"/>
      </w:divBdr>
    </w:div>
    <w:div w:id="2010710413">
      <w:bodyDiv w:val="1"/>
      <w:marLeft w:val="0"/>
      <w:marRight w:val="0"/>
      <w:marTop w:val="0"/>
      <w:marBottom w:val="0"/>
      <w:divBdr>
        <w:top w:val="none" w:sz="0" w:space="0" w:color="auto"/>
        <w:left w:val="none" w:sz="0" w:space="0" w:color="auto"/>
        <w:bottom w:val="none" w:sz="0" w:space="0" w:color="auto"/>
        <w:right w:val="none" w:sz="0" w:space="0" w:color="auto"/>
      </w:divBdr>
    </w:div>
    <w:div w:id="2014186123">
      <w:bodyDiv w:val="1"/>
      <w:marLeft w:val="0"/>
      <w:marRight w:val="0"/>
      <w:marTop w:val="0"/>
      <w:marBottom w:val="0"/>
      <w:divBdr>
        <w:top w:val="none" w:sz="0" w:space="0" w:color="auto"/>
        <w:left w:val="none" w:sz="0" w:space="0" w:color="auto"/>
        <w:bottom w:val="none" w:sz="0" w:space="0" w:color="auto"/>
        <w:right w:val="none" w:sz="0" w:space="0" w:color="auto"/>
      </w:divBdr>
    </w:div>
    <w:div w:id="2015647228">
      <w:bodyDiv w:val="1"/>
      <w:marLeft w:val="0"/>
      <w:marRight w:val="0"/>
      <w:marTop w:val="0"/>
      <w:marBottom w:val="0"/>
      <w:divBdr>
        <w:top w:val="none" w:sz="0" w:space="0" w:color="auto"/>
        <w:left w:val="none" w:sz="0" w:space="0" w:color="auto"/>
        <w:bottom w:val="none" w:sz="0" w:space="0" w:color="auto"/>
        <w:right w:val="none" w:sz="0" w:space="0" w:color="auto"/>
      </w:divBdr>
    </w:div>
    <w:div w:id="2016104690">
      <w:bodyDiv w:val="1"/>
      <w:marLeft w:val="0"/>
      <w:marRight w:val="0"/>
      <w:marTop w:val="0"/>
      <w:marBottom w:val="0"/>
      <w:divBdr>
        <w:top w:val="none" w:sz="0" w:space="0" w:color="auto"/>
        <w:left w:val="none" w:sz="0" w:space="0" w:color="auto"/>
        <w:bottom w:val="none" w:sz="0" w:space="0" w:color="auto"/>
        <w:right w:val="none" w:sz="0" w:space="0" w:color="auto"/>
      </w:divBdr>
    </w:div>
    <w:div w:id="2050718449">
      <w:bodyDiv w:val="1"/>
      <w:marLeft w:val="0"/>
      <w:marRight w:val="0"/>
      <w:marTop w:val="0"/>
      <w:marBottom w:val="0"/>
      <w:divBdr>
        <w:top w:val="none" w:sz="0" w:space="0" w:color="auto"/>
        <w:left w:val="none" w:sz="0" w:space="0" w:color="auto"/>
        <w:bottom w:val="none" w:sz="0" w:space="0" w:color="auto"/>
        <w:right w:val="none" w:sz="0" w:space="0" w:color="auto"/>
      </w:divBdr>
    </w:div>
    <w:div w:id="2106073254">
      <w:bodyDiv w:val="1"/>
      <w:marLeft w:val="0"/>
      <w:marRight w:val="0"/>
      <w:marTop w:val="0"/>
      <w:marBottom w:val="0"/>
      <w:divBdr>
        <w:top w:val="none" w:sz="0" w:space="0" w:color="auto"/>
        <w:left w:val="none" w:sz="0" w:space="0" w:color="auto"/>
        <w:bottom w:val="none" w:sz="0" w:space="0" w:color="auto"/>
        <w:right w:val="none" w:sz="0" w:space="0" w:color="auto"/>
      </w:divBdr>
    </w:div>
    <w:div w:id="2119596802">
      <w:bodyDiv w:val="1"/>
      <w:marLeft w:val="0"/>
      <w:marRight w:val="0"/>
      <w:marTop w:val="0"/>
      <w:marBottom w:val="0"/>
      <w:divBdr>
        <w:top w:val="none" w:sz="0" w:space="0" w:color="auto"/>
        <w:left w:val="none" w:sz="0" w:space="0" w:color="auto"/>
        <w:bottom w:val="none" w:sz="0" w:space="0" w:color="auto"/>
        <w:right w:val="none" w:sz="0" w:space="0" w:color="auto"/>
      </w:divBdr>
    </w:div>
    <w:div w:id="2120221265">
      <w:bodyDiv w:val="1"/>
      <w:marLeft w:val="0"/>
      <w:marRight w:val="0"/>
      <w:marTop w:val="0"/>
      <w:marBottom w:val="0"/>
      <w:divBdr>
        <w:top w:val="none" w:sz="0" w:space="0" w:color="auto"/>
        <w:left w:val="none" w:sz="0" w:space="0" w:color="auto"/>
        <w:bottom w:val="none" w:sz="0" w:space="0" w:color="auto"/>
        <w:right w:val="none" w:sz="0" w:space="0" w:color="auto"/>
      </w:divBdr>
    </w:div>
    <w:div w:id="21444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image" Target="media/image55.wmf"/><Relationship Id="rId68" Type="http://schemas.openxmlformats.org/officeDocument/2006/relationships/hyperlink" Target="https://www.indec.gov.ar/" TargetMode="External"/><Relationship Id="rId76" Type="http://schemas.openxmlformats.org/officeDocument/2006/relationships/hyperlink" Target="https://www.larioja.gov.ar/index.php/component/content/article/86-ministerios/102-ley-de-responsabilidad-fiscal?Itemid=437" TargetMode="External"/><Relationship Id="rId8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cgpcorrientes.gov.ar/archivos/CUENTA_DE_INVERSION_2017.pdf" TargetMode="Externa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66" Type="http://schemas.openxmlformats.org/officeDocument/2006/relationships/hyperlink" Target="http://ictlogy.net/bibliography/reports/projects.php?idp=2308" TargetMode="External"/><Relationship Id="rId74" Type="http://schemas.openxmlformats.org/officeDocument/2006/relationships/hyperlink" Target="http://hacienda.jujuy.gob.ar/ejecucion-presupuestaria-ano-2017/%231486401287655-04a0e056-5588" TargetMode="External"/><Relationship Id="rId79" Type="http://schemas.openxmlformats.org/officeDocument/2006/relationships/hyperlink" Target="https://www.rionegro.gov.ar/?contID=41007" TargetMode="External"/><Relationship Id="rId5" Type="http://schemas.openxmlformats.org/officeDocument/2006/relationships/settings" Target="settings.xml"/><Relationship Id="rId61" Type="http://schemas.openxmlformats.org/officeDocument/2006/relationships/image" Target="media/image53.wmf"/><Relationship Id="rId82" Type="http://schemas.openxmlformats.org/officeDocument/2006/relationships/hyperlink" Target="http://www.santacruz.gob.ar/informacion-presupuestaria/" TargetMode="External"/><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hyperlink" Target="http://ictlogy.net/bibliography/reports/contacts.php?idc=108" TargetMode="External"/><Relationship Id="rId69" Type="http://schemas.openxmlformats.org/officeDocument/2006/relationships/hyperlink" Target="http://www.buenosaires.gob.ar/economiayfinanzas/contaduria/informacion-contable/ejecuciones-presupuestarias" TargetMode="External"/><Relationship Id="rId77" Type="http://schemas.openxmlformats.org/officeDocument/2006/relationships/hyperlink" Target="http://www.hacienda.mendoza.gov.ar/ejec_pres/" TargetMode="External"/><Relationship Id="rId8" Type="http://schemas.openxmlformats.org/officeDocument/2006/relationships/endnotes" Target="endnotes.xml"/><Relationship Id="rId51" Type="http://schemas.openxmlformats.org/officeDocument/2006/relationships/image" Target="media/image43.wmf"/><Relationship Id="rId72" Type="http://schemas.openxmlformats.org/officeDocument/2006/relationships/hyperlink" Target="http://www.chubut.gov.ar/portal/wp-organismos/sgp/category/informacion-presupuestaria/2017/" TargetMode="External"/><Relationship Id="rId80" Type="http://schemas.openxmlformats.org/officeDocument/2006/relationships/hyperlink" Target="http://presupuesto.salta.gov.ar/"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hyperlink" Target="http://www2.mecon.gov.ar/hacienda/dncfp/index.php" TargetMode="External"/><Relationship Id="rId20" Type="http://schemas.openxmlformats.org/officeDocument/2006/relationships/image" Target="media/image12.e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hyperlink" Target="http://multimedia.cba.gov.ar/web/Cuenta%20de%20Inversi%C3%B3n%202017.pdf" TargetMode="External"/><Relationship Id="rId75" Type="http://schemas.openxmlformats.org/officeDocument/2006/relationships/hyperlink" Target="http://www.contaduriageneral.lapampa.gob.ar/ano-2017.html" TargetMode="External"/><Relationship Id="rId83" Type="http://schemas.openxmlformats.org/officeDocument/2006/relationships/hyperlink" Target="http://www.santafe.gov.ar/index.php/web/content/view/full/211944/(subtema)/11643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2.emf"/><Relationship Id="rId31" Type="http://schemas.openxmlformats.org/officeDocument/2006/relationships/image" Target="media/image23.e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hyperlink" Target="http://ictlogy.net/bibliography/reports/contacts.php?idc=1908" TargetMode="External"/><Relationship Id="rId73" Type="http://schemas.openxmlformats.org/officeDocument/2006/relationships/hyperlink" Target="https://www.entrerios.gov.ar/contaduria/index.php?codigo=20&amp;item=pagina_textos&amp;menu=menu&amp;modulo=&amp;accion" TargetMode="External"/><Relationship Id="rId78" Type="http://schemas.openxmlformats.org/officeDocument/2006/relationships/hyperlink" Target="http://hacienda.gov.ar/index.php/ejecucion-presupuestaria/aif/" TargetMode="External"/><Relationship Id="rId81" Type="http://schemas.openxmlformats.org/officeDocument/2006/relationships/hyperlink" Target="https://hacienda.sanjuan.gob.ar/ejecucion/ahorro_2017.php"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luislaguinge4@gmail.com" TargetMode="External"/><Relationship Id="rId2" Type="http://schemas.openxmlformats.org/officeDocument/2006/relationships/hyperlink" Target="mailto:luciaviglesias@gmail.com" TargetMode="External"/><Relationship Id="rId1" Type="http://schemas.openxmlformats.org/officeDocument/2006/relationships/hyperlink" Target="mailto:marcapell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9905-CF5B-481E-AC4A-8C6D8F7D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9669</Words>
  <Characters>53185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llaguinge</dc:creator>
  <cp:lastModifiedBy>Marcelo Capello</cp:lastModifiedBy>
  <cp:revision>2</cp:revision>
  <dcterms:created xsi:type="dcterms:W3CDTF">2018-06-05T19:13:00Z</dcterms:created>
  <dcterms:modified xsi:type="dcterms:W3CDTF">2018-06-05T19:13:00Z</dcterms:modified>
</cp:coreProperties>
</file>