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102DCF" w14:textId="77777777" w:rsidR="006B4121" w:rsidRPr="006B4121" w:rsidRDefault="006B4121" w:rsidP="006B4121">
      <w:pPr>
        <w:pStyle w:val="Encabezado"/>
        <w:spacing w:line="360" w:lineRule="auto"/>
        <w:jc w:val="center"/>
        <w:rPr>
          <w:rFonts w:ascii="Arial" w:hAnsi="Arial" w:cs="Arial"/>
          <w:b/>
          <w:bCs/>
          <w:caps/>
          <w:lang w:val="es-AR"/>
        </w:rPr>
      </w:pPr>
      <w:r w:rsidRPr="006B4121">
        <w:rPr>
          <w:rFonts w:ascii="Arial" w:hAnsi="Arial" w:cs="Arial"/>
          <w:b/>
          <w:bCs/>
          <w:caps/>
          <w:lang w:val="es-AR"/>
        </w:rPr>
        <w:t>ESFUERZO FISCAL DE LAS PROVINCIAS ARGENTINAS</w:t>
      </w:r>
      <w:r>
        <w:rPr>
          <w:rStyle w:val="Refdenotaalpie"/>
          <w:rFonts w:ascii="Arial" w:hAnsi="Arial" w:cs="Arial"/>
          <w:b/>
          <w:bCs/>
          <w:caps/>
        </w:rPr>
        <w:footnoteReference w:id="1"/>
      </w:r>
    </w:p>
    <w:p w14:paraId="52C0036D" w14:textId="3DD14AE9" w:rsidR="006B4121" w:rsidRPr="00D52B0C" w:rsidRDefault="006B4121" w:rsidP="00D52B0C">
      <w:pPr>
        <w:pStyle w:val="Default"/>
        <w:rPr>
          <w:rFonts w:asciiTheme="minorHAnsi" w:hAnsiTheme="minorHAnsi" w:cstheme="minorHAnsi"/>
          <w:b/>
          <w:sz w:val="22"/>
          <w:szCs w:val="22"/>
        </w:rPr>
      </w:pPr>
      <w:r w:rsidRPr="00D52B0C">
        <w:rPr>
          <w:rFonts w:asciiTheme="minorHAnsi" w:hAnsiTheme="minorHAnsi" w:cstheme="minorHAnsi"/>
          <w:b/>
          <w:sz w:val="22"/>
          <w:szCs w:val="22"/>
        </w:rPr>
        <w:t xml:space="preserve">Autora: </w:t>
      </w:r>
    </w:p>
    <w:p w14:paraId="2B5060D0" w14:textId="77777777" w:rsidR="006B4121" w:rsidRPr="00D52B0C" w:rsidRDefault="006B4121" w:rsidP="00D52B0C">
      <w:pPr>
        <w:pStyle w:val="Default"/>
        <w:spacing w:before="60" w:after="60"/>
        <w:ind w:left="360"/>
        <w:rPr>
          <w:rFonts w:asciiTheme="minorHAnsi" w:hAnsiTheme="minorHAnsi" w:cstheme="minorHAnsi"/>
          <w:sz w:val="22"/>
          <w:szCs w:val="22"/>
        </w:rPr>
      </w:pPr>
      <w:r w:rsidRPr="00D52B0C">
        <w:rPr>
          <w:rFonts w:asciiTheme="minorHAnsi" w:hAnsiTheme="minorHAnsi" w:cstheme="minorHAnsi"/>
          <w:sz w:val="22"/>
          <w:szCs w:val="22"/>
        </w:rPr>
        <w:t xml:space="preserve">Sonia Griselda </w:t>
      </w:r>
      <w:r w:rsidRPr="00D52B0C">
        <w:rPr>
          <w:rFonts w:asciiTheme="minorHAnsi" w:hAnsiTheme="minorHAnsi" w:cstheme="minorHAnsi"/>
          <w:caps/>
          <w:sz w:val="22"/>
          <w:szCs w:val="22"/>
        </w:rPr>
        <w:t>Araujo FurlAn</w:t>
      </w:r>
    </w:p>
    <w:p w14:paraId="459EDAD6" w14:textId="77777777" w:rsidR="006B4121" w:rsidRPr="00D52B0C" w:rsidRDefault="006B4121" w:rsidP="00D52B0C">
      <w:pPr>
        <w:pStyle w:val="Default"/>
        <w:spacing w:before="60" w:after="60"/>
        <w:ind w:firstLine="360"/>
        <w:rPr>
          <w:rFonts w:asciiTheme="minorHAnsi" w:hAnsiTheme="minorHAnsi" w:cstheme="minorHAnsi"/>
          <w:sz w:val="22"/>
          <w:szCs w:val="22"/>
        </w:rPr>
      </w:pPr>
      <w:r w:rsidRPr="00D52B0C">
        <w:rPr>
          <w:rFonts w:asciiTheme="minorHAnsi" w:hAnsiTheme="minorHAnsi" w:cstheme="minorHAnsi"/>
          <w:sz w:val="22"/>
          <w:szCs w:val="22"/>
        </w:rPr>
        <w:t>San Juan 579, dpto. 4, (5500) Mendoza</w:t>
      </w:r>
    </w:p>
    <w:p w14:paraId="7A3E2452" w14:textId="77777777" w:rsidR="006B4121" w:rsidRPr="00D52B0C" w:rsidRDefault="00EE621F" w:rsidP="00D52B0C">
      <w:pPr>
        <w:pStyle w:val="Default"/>
        <w:spacing w:before="60" w:after="60"/>
        <w:ind w:firstLine="360"/>
        <w:rPr>
          <w:rFonts w:asciiTheme="minorHAnsi" w:hAnsiTheme="minorHAnsi" w:cstheme="minorHAnsi"/>
          <w:sz w:val="22"/>
          <w:szCs w:val="22"/>
        </w:rPr>
      </w:pPr>
      <w:hyperlink r:id="rId8" w:history="1">
        <w:r w:rsidR="006B4121" w:rsidRPr="00D52B0C">
          <w:rPr>
            <w:rStyle w:val="Hipervnculo"/>
            <w:rFonts w:asciiTheme="minorHAnsi" w:hAnsiTheme="minorHAnsi" w:cstheme="minorHAnsi"/>
            <w:sz w:val="22"/>
            <w:szCs w:val="22"/>
          </w:rPr>
          <w:t>sonia.araujo.689@gmail.com</w:t>
        </w:r>
      </w:hyperlink>
      <w:r w:rsidR="006B4121" w:rsidRPr="00D52B0C">
        <w:rPr>
          <w:rFonts w:asciiTheme="minorHAnsi" w:hAnsiTheme="minorHAnsi" w:cstheme="minorHAnsi"/>
          <w:sz w:val="22"/>
          <w:szCs w:val="22"/>
        </w:rPr>
        <w:t xml:space="preserve">, Tel. +54(264) 6704358, </w:t>
      </w:r>
    </w:p>
    <w:p w14:paraId="3D046329" w14:textId="77777777" w:rsidR="006B4121" w:rsidRPr="00D52B0C" w:rsidRDefault="006B4121" w:rsidP="00D52B0C">
      <w:pPr>
        <w:spacing w:before="60" w:after="120" w:line="240" w:lineRule="auto"/>
        <w:ind w:firstLine="360"/>
        <w:rPr>
          <w:rFonts w:cstheme="minorHAnsi"/>
          <w:lang w:val="es-AR"/>
        </w:rPr>
      </w:pPr>
      <w:r w:rsidRPr="00D52B0C">
        <w:rPr>
          <w:rFonts w:cstheme="minorHAnsi"/>
          <w:lang w:val="es-AR"/>
        </w:rPr>
        <w:t xml:space="preserve">Facultad de Ciencias Económicas, Universidad Nacional de Cuyo. </w:t>
      </w:r>
    </w:p>
    <w:p w14:paraId="6C5D0205" w14:textId="77777777" w:rsidR="006B4121" w:rsidRPr="00D52B0C" w:rsidRDefault="006B4121" w:rsidP="00D52B0C">
      <w:pPr>
        <w:spacing w:before="120" w:after="120" w:line="240" w:lineRule="auto"/>
        <w:rPr>
          <w:rFonts w:cstheme="minorHAnsi"/>
          <w:lang w:val="es-AR"/>
        </w:rPr>
      </w:pPr>
      <w:r w:rsidRPr="00D52B0C">
        <w:rPr>
          <w:rFonts w:cstheme="minorHAnsi"/>
          <w:b/>
          <w:bCs/>
          <w:lang w:val="es-AR"/>
        </w:rPr>
        <w:t xml:space="preserve">Palabras Claves: </w:t>
      </w:r>
      <w:r w:rsidRPr="00D52B0C">
        <w:rPr>
          <w:rFonts w:cstheme="minorHAnsi"/>
          <w:lang w:val="es-AR"/>
        </w:rPr>
        <w:t>Esfuerzo Fiscal, Capacidad Fiscal, Provincias Argentinas</w:t>
      </w:r>
    </w:p>
    <w:p w14:paraId="472369C2" w14:textId="77777777" w:rsidR="006B4121" w:rsidRPr="00D52B0C" w:rsidRDefault="006B4121" w:rsidP="00D52B0C">
      <w:pPr>
        <w:spacing w:line="240" w:lineRule="auto"/>
        <w:rPr>
          <w:rFonts w:cstheme="minorHAnsi"/>
        </w:rPr>
      </w:pPr>
      <w:r w:rsidRPr="00D52B0C">
        <w:rPr>
          <w:rFonts w:cstheme="minorHAnsi"/>
          <w:b/>
          <w:bCs/>
        </w:rPr>
        <w:t xml:space="preserve">Clasificación JEL:  </w:t>
      </w:r>
      <w:r w:rsidRPr="00D52B0C">
        <w:rPr>
          <w:rFonts w:cstheme="minorHAnsi"/>
        </w:rPr>
        <w:t xml:space="preserve">H7 - State and Local Government; Intergovernmental Relations </w:t>
      </w:r>
    </w:p>
    <w:p w14:paraId="6276359F" w14:textId="77777777" w:rsidR="006B4121" w:rsidRPr="006B4121" w:rsidRDefault="006B4121" w:rsidP="006B4121">
      <w:pPr>
        <w:spacing w:before="240"/>
        <w:jc w:val="center"/>
        <w:rPr>
          <w:rFonts w:ascii="Arial" w:hAnsi="Arial" w:cs="Arial"/>
          <w:b/>
          <w:caps/>
          <w:lang w:val="es-AR"/>
        </w:rPr>
      </w:pPr>
      <w:r w:rsidRPr="006B4121">
        <w:rPr>
          <w:rFonts w:ascii="Arial" w:hAnsi="Arial" w:cs="Arial"/>
          <w:b/>
          <w:caps/>
          <w:lang w:val="es-AR"/>
        </w:rPr>
        <w:t>Resumen</w:t>
      </w:r>
    </w:p>
    <w:p w14:paraId="123ABB15" w14:textId="63BAB37A" w:rsidR="006B4121" w:rsidRPr="00807FE5" w:rsidRDefault="006B4121" w:rsidP="00807FE5">
      <w:pPr>
        <w:tabs>
          <w:tab w:val="left" w:pos="4678"/>
          <w:tab w:val="left" w:pos="8789"/>
        </w:tabs>
        <w:spacing w:line="240" w:lineRule="auto"/>
        <w:rPr>
          <w:rFonts w:cstheme="minorHAnsi"/>
          <w:lang w:val="es-AR"/>
        </w:rPr>
      </w:pPr>
      <w:r w:rsidRPr="00807FE5">
        <w:rPr>
          <w:rFonts w:cstheme="minorHAnsi"/>
          <w:lang w:val="es-AR"/>
        </w:rPr>
        <w:t>El presente trabajo busca realizar una primera aproximación a la medición del esfuerzo fiscal de las provincias argentinas en los últimos 20 años (1993-2014). Para esto se pretende determinar en primera instancia cuáles variables son las adecuadas para formular indicadores de esfuerzo fiscal y capacidad fiscal, como así también, de acuerdo a las variables disponibles, identificar que metodologías resultan más apropiadas para el caso de las provincias argentinas.</w:t>
      </w:r>
      <w:r w:rsidR="00807FE5">
        <w:rPr>
          <w:rFonts w:cstheme="minorHAnsi"/>
          <w:lang w:val="es-AR"/>
        </w:rPr>
        <w:t xml:space="preserve"> </w:t>
      </w:r>
      <w:r w:rsidRPr="00807FE5">
        <w:rPr>
          <w:rFonts w:cstheme="minorHAnsi"/>
          <w:lang w:val="es-AR"/>
        </w:rPr>
        <w:t>También se busca analizar la evolución de los indicadores de esfuerzo fiscal de las provincias argentinas en el periodo bajo análisis y determinar qué provincias presentan bajo esfuerzo y cuáles alto, relativo al resto de las provincias.</w:t>
      </w:r>
    </w:p>
    <w:p w14:paraId="7A90ACD9" w14:textId="794F2EBB" w:rsidR="006B4121" w:rsidRPr="009917ED" w:rsidRDefault="00807FE5" w:rsidP="00807FE5">
      <w:pPr>
        <w:tabs>
          <w:tab w:val="left" w:pos="4678"/>
          <w:tab w:val="left" w:pos="8789"/>
        </w:tabs>
        <w:spacing w:line="240" w:lineRule="auto"/>
        <w:rPr>
          <w:rFonts w:cstheme="minorHAnsi"/>
          <w:color w:val="FF0000"/>
          <w:lang w:val="es-AR"/>
        </w:rPr>
      </w:pPr>
      <w:r>
        <w:rPr>
          <w:rFonts w:cstheme="minorHAnsi"/>
          <w:lang w:val="es-AR"/>
        </w:rPr>
        <w:t>L</w:t>
      </w:r>
      <w:r w:rsidR="006B4121" w:rsidRPr="00807FE5">
        <w:rPr>
          <w:rFonts w:cstheme="minorHAnsi"/>
          <w:lang w:val="es-AR"/>
        </w:rPr>
        <w:t>as metodologías finalmente utilizadas se puede mencionar el cálculo de distintos ratios basados en los trabajos de Zabalza y Lasheras (1999), Zapata (2012) y Rabell García (2010), como así también una aproximación econométrica de datos de panel siguiendo el enfoque de Díaz (2014) para el caso del esfuerzo fiscal de los municipios argentinos</w:t>
      </w:r>
      <w:r w:rsidR="00EE621F">
        <w:rPr>
          <w:rFonts w:cstheme="minorHAnsi"/>
          <w:lang w:val="es-AR"/>
        </w:rPr>
        <w:t>.</w:t>
      </w:r>
    </w:p>
    <w:p w14:paraId="31AD7402" w14:textId="22425D93" w:rsidR="00C917E8" w:rsidRPr="006B4121" w:rsidRDefault="00C917E8" w:rsidP="008B5D7F">
      <w:pPr>
        <w:pStyle w:val="Ttulo1"/>
        <w:spacing w:before="60" w:after="60"/>
        <w:ind w:firstLine="0"/>
        <w:rPr>
          <w:lang w:val="es-AR"/>
        </w:rPr>
      </w:pPr>
      <w:bookmarkStart w:id="0" w:name="_Toc491725408"/>
      <w:r w:rsidRPr="006B4121">
        <w:rPr>
          <w:lang w:val="es-AR"/>
        </w:rPr>
        <w:t>INTRODUCCIÓN</w:t>
      </w:r>
      <w:bookmarkEnd w:id="0"/>
    </w:p>
    <w:p w14:paraId="66483B5A" w14:textId="1338EA59" w:rsidR="00C917E8" w:rsidRPr="008B5D7F" w:rsidRDefault="00C917E8" w:rsidP="008B5D7F">
      <w:pPr>
        <w:spacing w:before="120" w:after="120" w:line="240" w:lineRule="auto"/>
        <w:rPr>
          <w:rFonts w:cstheme="minorHAnsi"/>
          <w:lang w:val="es-AR"/>
        </w:rPr>
      </w:pPr>
      <w:r w:rsidRPr="008B5D7F">
        <w:rPr>
          <w:rFonts w:cstheme="minorHAnsi"/>
          <w:lang w:val="es-AR"/>
        </w:rPr>
        <w:t xml:space="preserve">La meta de este trabajo de investigación es brindar una idea acerca de la responsabilidad fiscal de las provincias, abordado por el lado del esfuerzo fiscal. </w:t>
      </w:r>
      <w:r w:rsidR="00DE008E" w:rsidRPr="008B5D7F">
        <w:rPr>
          <w:rFonts w:cstheme="minorHAnsi"/>
          <w:lang w:val="es-AR"/>
        </w:rPr>
        <w:t>Se propone entonces</w:t>
      </w:r>
      <w:r w:rsidRPr="008B5D7F">
        <w:rPr>
          <w:rFonts w:cstheme="minorHAnsi"/>
          <w:lang w:val="es-AR"/>
        </w:rPr>
        <w:t xml:space="preserve"> hacer una comparación entre provincias para brindar una idea general de cuáles son o han sido aquellas más comprometidas con el objetivo de responsabilidad fiscal.</w:t>
      </w:r>
    </w:p>
    <w:p w14:paraId="0BA0E45C" w14:textId="2A1C3ADE" w:rsidR="00D82798" w:rsidRPr="008B5D7F" w:rsidRDefault="00D82798" w:rsidP="008B5D7F">
      <w:pPr>
        <w:spacing w:before="120" w:after="120" w:line="240" w:lineRule="auto"/>
        <w:rPr>
          <w:rFonts w:cstheme="minorHAnsi"/>
          <w:noProof/>
          <w:lang w:val="es-AR" w:eastAsia="es-MX"/>
        </w:rPr>
      </w:pPr>
      <w:r w:rsidRPr="008B5D7F">
        <w:rPr>
          <w:rFonts w:cstheme="minorHAnsi"/>
          <w:noProof/>
          <w:lang w:val="es-AR" w:eastAsia="es-MX"/>
        </w:rPr>
        <w:t>Dadas las características del sis</w:t>
      </w:r>
      <w:r w:rsidR="00DE008E" w:rsidRPr="008B5D7F">
        <w:rPr>
          <w:rFonts w:cstheme="minorHAnsi"/>
          <w:noProof/>
          <w:lang w:val="es-AR" w:eastAsia="es-MX"/>
        </w:rPr>
        <w:t>tema tributario argentino, los indicadores de reparto</w:t>
      </w:r>
      <w:r w:rsidRPr="008B5D7F">
        <w:rPr>
          <w:rFonts w:cstheme="minorHAnsi"/>
          <w:noProof/>
          <w:lang w:val="es-AR" w:eastAsia="es-MX"/>
        </w:rPr>
        <w:t xml:space="preserve"> de las coparticipaciones tienen gran protagonismo. Para que </w:t>
      </w:r>
      <w:r w:rsidR="00366A37" w:rsidRPr="008B5D7F">
        <w:rPr>
          <w:rFonts w:cstheme="minorHAnsi"/>
          <w:noProof/>
          <w:lang w:val="es-AR" w:eastAsia="es-MX"/>
        </w:rPr>
        <w:t>la coparticipación</w:t>
      </w:r>
      <w:r w:rsidRPr="008B5D7F">
        <w:rPr>
          <w:rFonts w:cstheme="minorHAnsi"/>
          <w:noProof/>
          <w:lang w:val="es-AR" w:eastAsia="es-MX"/>
        </w:rPr>
        <w:t xml:space="preserve"> sea lo más adecuada posible, es necesario avanzar en la confección de indicadores objetivos que guíen los criterios de la misma.</w:t>
      </w:r>
    </w:p>
    <w:p w14:paraId="1B0870A7" w14:textId="0CD2ED9A" w:rsidR="00322376" w:rsidRPr="008B5D7F" w:rsidRDefault="00C917E8" w:rsidP="008B5D7F">
      <w:pPr>
        <w:spacing w:line="240" w:lineRule="auto"/>
        <w:rPr>
          <w:rFonts w:cstheme="minorHAnsi"/>
          <w:lang w:val="es-AR"/>
        </w:rPr>
      </w:pPr>
      <w:r w:rsidRPr="008B5D7F">
        <w:rPr>
          <w:rFonts w:cstheme="minorHAnsi"/>
          <w:noProof/>
          <w:lang w:val="es-AR" w:eastAsia="es-MX"/>
        </w:rPr>
        <w:t xml:space="preserve">Dentro de los criterios de coparticipación se considera que es imprescindible, en consonancia con las leyes provinciales y federal de </w:t>
      </w:r>
      <w:r w:rsidR="00ED0955" w:rsidRPr="008B5D7F">
        <w:rPr>
          <w:rFonts w:cstheme="minorHAnsi"/>
          <w:noProof/>
          <w:lang w:val="es-AR" w:eastAsia="es-MX"/>
        </w:rPr>
        <w:t>r</w:t>
      </w:r>
      <w:r w:rsidRPr="008B5D7F">
        <w:rPr>
          <w:rFonts w:cstheme="minorHAnsi"/>
          <w:noProof/>
          <w:lang w:val="es-AR" w:eastAsia="es-MX"/>
        </w:rPr>
        <w:t xml:space="preserve">esponsabilidad </w:t>
      </w:r>
      <w:r w:rsidR="00ED0955" w:rsidRPr="008B5D7F">
        <w:rPr>
          <w:rFonts w:cstheme="minorHAnsi"/>
          <w:noProof/>
          <w:lang w:val="es-AR" w:eastAsia="es-MX"/>
        </w:rPr>
        <w:t>f</w:t>
      </w:r>
      <w:r w:rsidRPr="008B5D7F">
        <w:rPr>
          <w:rFonts w:cstheme="minorHAnsi"/>
          <w:noProof/>
          <w:lang w:val="es-AR" w:eastAsia="es-MX"/>
        </w:rPr>
        <w:t xml:space="preserve">iscal, que parte de los recursos sean asignados a través de indicadores que </w:t>
      </w:r>
      <w:r w:rsidR="009136EE" w:rsidRPr="008B5D7F">
        <w:rPr>
          <w:rFonts w:cstheme="minorHAnsi"/>
          <w:noProof/>
          <w:lang w:val="es-AR" w:eastAsia="es-MX"/>
        </w:rPr>
        <w:t>incentiven la</w:t>
      </w:r>
      <w:r w:rsidRPr="008B5D7F">
        <w:rPr>
          <w:rFonts w:cstheme="minorHAnsi"/>
          <w:noProof/>
          <w:lang w:val="es-AR" w:eastAsia="es-MX"/>
        </w:rPr>
        <w:t xml:space="preserve"> </w:t>
      </w:r>
      <w:r w:rsidR="00ED0955" w:rsidRPr="008B5D7F">
        <w:rPr>
          <w:rFonts w:cstheme="minorHAnsi"/>
          <w:noProof/>
          <w:lang w:val="es-AR" w:eastAsia="es-MX"/>
        </w:rPr>
        <w:t>responsabilidad f</w:t>
      </w:r>
      <w:r w:rsidRPr="008B5D7F">
        <w:rPr>
          <w:rFonts w:cstheme="minorHAnsi"/>
          <w:noProof/>
          <w:lang w:val="es-AR" w:eastAsia="es-MX"/>
        </w:rPr>
        <w:t>iscal</w:t>
      </w:r>
      <w:r w:rsidR="00FC3E09" w:rsidRPr="008B5D7F">
        <w:rPr>
          <w:rFonts w:cstheme="minorHAnsi"/>
          <w:noProof/>
          <w:lang w:val="es-AR" w:eastAsia="es-MX"/>
        </w:rPr>
        <w:t xml:space="preserve"> (Vega y Rus</w:t>
      </w:r>
      <w:r w:rsidR="00366A37" w:rsidRPr="008B5D7F">
        <w:rPr>
          <w:rFonts w:cstheme="minorHAnsi"/>
          <w:noProof/>
          <w:lang w:val="es-AR" w:eastAsia="es-MX"/>
        </w:rPr>
        <w:t>so</w:t>
      </w:r>
      <w:r w:rsidR="00FC3E09" w:rsidRPr="008B5D7F">
        <w:rPr>
          <w:rFonts w:cstheme="minorHAnsi"/>
          <w:noProof/>
          <w:lang w:val="es-AR" w:eastAsia="es-MX"/>
        </w:rPr>
        <w:t>, 2004;</w:t>
      </w:r>
      <w:r w:rsidR="00366A37" w:rsidRPr="008B5D7F">
        <w:rPr>
          <w:rFonts w:cstheme="minorHAnsi"/>
          <w:noProof/>
          <w:lang w:val="es-AR" w:eastAsia="es-MX"/>
        </w:rPr>
        <w:t xml:space="preserve"> Vega, Diblasi y González Orozco, 2016)</w:t>
      </w:r>
      <w:r w:rsidRPr="008B5D7F">
        <w:rPr>
          <w:rFonts w:cstheme="minorHAnsi"/>
          <w:noProof/>
          <w:lang w:val="es-AR" w:eastAsia="es-MX"/>
        </w:rPr>
        <w:t xml:space="preserve">. Como punto </w:t>
      </w:r>
      <w:r w:rsidR="00062749" w:rsidRPr="008B5D7F">
        <w:rPr>
          <w:rFonts w:cstheme="minorHAnsi"/>
          <w:noProof/>
          <w:lang w:val="es-AR" w:eastAsia="es-MX"/>
        </w:rPr>
        <w:t xml:space="preserve">de </w:t>
      </w:r>
      <w:r w:rsidRPr="008B5D7F">
        <w:rPr>
          <w:rFonts w:cstheme="minorHAnsi"/>
          <w:noProof/>
          <w:lang w:val="es-AR" w:eastAsia="es-MX"/>
        </w:rPr>
        <w:t xml:space="preserve">partida para esto, se considera necesario un avance en la búsqueda de índices que midan el esfuerzo fiscal provincial de forma tal que guíen la asignación de recursos de la coparticipación en base a los esfuerzos y </w:t>
      </w:r>
      <w:r w:rsidR="001A07AE" w:rsidRPr="008B5D7F">
        <w:rPr>
          <w:rFonts w:cstheme="minorHAnsi"/>
          <w:noProof/>
          <w:lang w:val="es-AR" w:eastAsia="es-MX"/>
        </w:rPr>
        <w:t xml:space="preserve">mejoras </w:t>
      </w:r>
      <w:r w:rsidRPr="008B5D7F">
        <w:rPr>
          <w:rFonts w:cstheme="minorHAnsi"/>
          <w:noProof/>
          <w:lang w:val="es-AR" w:eastAsia="es-MX"/>
        </w:rPr>
        <w:t xml:space="preserve">en la utilización de los mismos </w:t>
      </w:r>
      <w:r w:rsidR="009136EE" w:rsidRPr="008B5D7F">
        <w:rPr>
          <w:rFonts w:cstheme="minorHAnsi"/>
          <w:noProof/>
          <w:lang w:val="es-AR" w:eastAsia="es-MX"/>
        </w:rPr>
        <w:t xml:space="preserve">de forma </w:t>
      </w:r>
      <w:r w:rsidR="00FB1825" w:rsidRPr="008B5D7F">
        <w:rPr>
          <w:rFonts w:cstheme="minorHAnsi"/>
          <w:noProof/>
          <w:lang w:val="es-AR" w:eastAsia="es-MX"/>
        </w:rPr>
        <w:t xml:space="preserve">de no </w:t>
      </w:r>
      <w:r w:rsidR="00DC30BB" w:rsidRPr="008B5D7F">
        <w:rPr>
          <w:rFonts w:cstheme="minorHAnsi"/>
          <w:noProof/>
          <w:lang w:val="es-AR" w:eastAsia="es-MX"/>
        </w:rPr>
        <w:t>sesga</w:t>
      </w:r>
      <w:r w:rsidR="00FB1825" w:rsidRPr="008B5D7F">
        <w:rPr>
          <w:rFonts w:cstheme="minorHAnsi"/>
          <w:noProof/>
          <w:lang w:val="es-AR" w:eastAsia="es-MX"/>
        </w:rPr>
        <w:t xml:space="preserve">r </w:t>
      </w:r>
      <w:r w:rsidR="00DC30BB" w:rsidRPr="008B5D7F">
        <w:rPr>
          <w:rFonts w:cstheme="minorHAnsi"/>
          <w:noProof/>
          <w:lang w:val="es-AR" w:eastAsia="es-MX"/>
        </w:rPr>
        <w:t>hacia aquellas provincias con mayores recursos naturales</w:t>
      </w:r>
      <w:r w:rsidR="00DE008E" w:rsidRPr="008B5D7F">
        <w:rPr>
          <w:rFonts w:cstheme="minorHAnsi"/>
          <w:noProof/>
          <w:lang w:val="es-AR" w:eastAsia="es-MX"/>
        </w:rPr>
        <w:t xml:space="preserve"> o de mayor población</w:t>
      </w:r>
      <w:r w:rsidR="00DC30BB" w:rsidRPr="008B5D7F">
        <w:rPr>
          <w:rFonts w:cstheme="minorHAnsi"/>
          <w:noProof/>
          <w:lang w:val="es-AR" w:eastAsia="es-MX"/>
        </w:rPr>
        <w:t xml:space="preserve">, como </w:t>
      </w:r>
      <w:r w:rsidR="00DE008E" w:rsidRPr="008B5D7F">
        <w:rPr>
          <w:rFonts w:cstheme="minorHAnsi"/>
          <w:noProof/>
          <w:lang w:val="es-AR" w:eastAsia="es-MX"/>
        </w:rPr>
        <w:t>podría resultar</w:t>
      </w:r>
      <w:r w:rsidR="00DC30BB" w:rsidRPr="008B5D7F">
        <w:rPr>
          <w:rFonts w:cstheme="minorHAnsi"/>
          <w:noProof/>
          <w:lang w:val="es-AR" w:eastAsia="es-MX"/>
        </w:rPr>
        <w:t xml:space="preserve"> sin un estudio adecuado de la situación. De esta forma, se </w:t>
      </w:r>
      <w:r w:rsidR="00DC30BB" w:rsidRPr="008B5D7F">
        <w:rPr>
          <w:rFonts w:cstheme="minorHAnsi"/>
          <w:noProof/>
          <w:lang w:val="es-AR" w:eastAsia="es-MX"/>
        </w:rPr>
        <w:lastRenderedPageBreak/>
        <w:t xml:space="preserve">promoverá </w:t>
      </w:r>
      <w:r w:rsidRPr="008B5D7F">
        <w:rPr>
          <w:rFonts w:cstheme="minorHAnsi"/>
          <w:noProof/>
          <w:lang w:val="es-AR" w:eastAsia="es-MX"/>
        </w:rPr>
        <w:t>la responsabilidad de los funcionarios en la gestión fiscal</w:t>
      </w:r>
      <w:r w:rsidR="009136EE" w:rsidRPr="008B5D7F">
        <w:rPr>
          <w:rFonts w:cstheme="minorHAnsi"/>
          <w:noProof/>
          <w:lang w:val="es-AR" w:eastAsia="es-MX"/>
        </w:rPr>
        <w:t>. D</w:t>
      </w:r>
      <w:r w:rsidR="0077128E" w:rsidRPr="008B5D7F">
        <w:rPr>
          <w:rFonts w:cstheme="minorHAnsi"/>
          <w:noProof/>
          <w:lang w:val="es-AR" w:eastAsia="es-MX"/>
        </w:rPr>
        <w:t xml:space="preserve">e hecho, </w:t>
      </w:r>
      <w:r w:rsidR="00322376" w:rsidRPr="008B5D7F">
        <w:rPr>
          <w:rFonts w:cstheme="minorHAnsi"/>
          <w:i/>
          <w:noProof/>
          <w:lang w:val="es-AR" w:eastAsia="es-MX"/>
        </w:rPr>
        <w:t>“s</w:t>
      </w:r>
      <w:r w:rsidR="00322376" w:rsidRPr="008B5D7F">
        <w:rPr>
          <w:rFonts w:cstheme="minorHAnsi"/>
          <w:i/>
          <w:lang w:val="es-AR"/>
        </w:rPr>
        <w:t>i los territorios no obtienen más recursos por un mayor nivel de cumplimiento fiscal, no existen incentivos aparentes de la hacienda territorial a maximizar su recaudación”</w:t>
      </w:r>
      <w:r w:rsidR="00613CBB" w:rsidRPr="008B5D7F">
        <w:rPr>
          <w:rFonts w:cstheme="minorHAnsi"/>
          <w:lang w:val="es-AR"/>
        </w:rPr>
        <w:t xml:space="preserve"> (López </w:t>
      </w:r>
      <w:r w:rsidR="005611D9" w:rsidRPr="008B5D7F">
        <w:rPr>
          <w:rFonts w:cstheme="minorHAnsi"/>
          <w:lang w:val="es-AR"/>
        </w:rPr>
        <w:t>Casasnovas y Castellanos Maduell</w:t>
      </w:r>
      <w:r w:rsidR="00613CBB" w:rsidRPr="008B5D7F">
        <w:rPr>
          <w:rFonts w:cstheme="minorHAnsi"/>
          <w:lang w:val="es-AR"/>
        </w:rPr>
        <w:t>, 2002)</w:t>
      </w:r>
      <w:r w:rsidR="00322376" w:rsidRPr="008B5D7F">
        <w:rPr>
          <w:rFonts w:cstheme="minorHAnsi"/>
          <w:lang w:val="es-AR"/>
        </w:rPr>
        <w:t>.</w:t>
      </w:r>
    </w:p>
    <w:p w14:paraId="4E321248" w14:textId="57911415" w:rsidR="00800977" w:rsidRPr="008B5D7F" w:rsidRDefault="00800977" w:rsidP="008B5D7F">
      <w:pPr>
        <w:spacing w:before="120" w:after="120" w:line="240" w:lineRule="auto"/>
        <w:rPr>
          <w:rFonts w:cstheme="minorHAnsi"/>
          <w:noProof/>
          <w:lang w:val="es-AR" w:eastAsia="es-MX"/>
        </w:rPr>
      </w:pPr>
      <w:r w:rsidRPr="008B5D7F">
        <w:rPr>
          <w:rFonts w:cstheme="minorHAnsi"/>
          <w:noProof/>
          <w:lang w:val="es-AR" w:eastAsia="es-MX"/>
        </w:rPr>
        <w:t xml:space="preserve">Según </w:t>
      </w:r>
      <w:r w:rsidR="00DF6245" w:rsidRPr="008B5D7F">
        <w:rPr>
          <w:rFonts w:cstheme="minorHAnsi"/>
          <w:noProof/>
          <w:lang w:val="es-AR" w:eastAsia="es-MX"/>
        </w:rPr>
        <w:t>Ramírez Rodriguez y Erquizio Espinal (2011</w:t>
      </w:r>
      <w:r w:rsidR="00C07397" w:rsidRPr="008B5D7F">
        <w:rPr>
          <w:rFonts w:cstheme="minorHAnsi"/>
          <w:noProof/>
          <w:lang w:val="es-AR" w:eastAsia="es-MX"/>
        </w:rPr>
        <w:t>)</w:t>
      </w:r>
      <w:r w:rsidRPr="008B5D7F">
        <w:rPr>
          <w:rFonts w:cstheme="minorHAnsi"/>
          <w:noProof/>
          <w:lang w:val="es-AR" w:eastAsia="es-MX"/>
        </w:rPr>
        <w:t xml:space="preserve"> </w:t>
      </w:r>
      <w:r w:rsidRPr="008B5D7F">
        <w:rPr>
          <w:rFonts w:cstheme="minorHAnsi"/>
          <w:i/>
          <w:noProof/>
          <w:lang w:val="es-AR" w:eastAsia="es-MX"/>
        </w:rPr>
        <w:t>“</w:t>
      </w:r>
      <w:r w:rsidRPr="008B5D7F">
        <w:rPr>
          <w:rFonts w:cstheme="minorHAnsi"/>
          <w:i/>
          <w:lang w:val="es-AR"/>
        </w:rPr>
        <w:t>habría que considerar no sólo factores asociados a necesidades, sino también premiar el esfuerzo fiscal de los estados a fin de evitar los problemas que manifiesten carencia de responsabilidad en materia presupuestaria. Esto implica establecer indicadores de capacidad y esfuerzo fiscal por entidad federativa”.</w:t>
      </w:r>
    </w:p>
    <w:p w14:paraId="180F3F2B" w14:textId="67EF2520" w:rsidR="00C917E8" w:rsidRPr="008B5D7F" w:rsidRDefault="00C917E8" w:rsidP="008B5D7F">
      <w:pPr>
        <w:spacing w:before="120" w:after="120" w:line="240" w:lineRule="auto"/>
        <w:rPr>
          <w:rFonts w:cstheme="minorHAnsi"/>
          <w:noProof/>
          <w:lang w:val="es-AR" w:eastAsia="es-MX"/>
        </w:rPr>
      </w:pPr>
      <w:r w:rsidRPr="008B5D7F">
        <w:rPr>
          <w:rFonts w:cstheme="minorHAnsi"/>
          <w:noProof/>
          <w:lang w:val="es-AR" w:eastAsia="es-MX"/>
        </w:rPr>
        <w:t>Por esta razón, y también a efectos de determinar si la dependencia de los recursos nacionales es inherente a las características fiscales de cada provincia o si se debe a decisiones políticas, se plantea la importancia de determinar la capacida</w:t>
      </w:r>
      <w:r w:rsidR="00003D47" w:rsidRPr="008B5D7F">
        <w:rPr>
          <w:rFonts w:cstheme="minorHAnsi"/>
          <w:noProof/>
          <w:lang w:val="es-AR" w:eastAsia="es-MX"/>
        </w:rPr>
        <w:t xml:space="preserve">d fiscal y el esfuerzo fiscal, </w:t>
      </w:r>
      <w:r w:rsidRPr="008B5D7F">
        <w:rPr>
          <w:rFonts w:cstheme="minorHAnsi"/>
          <w:noProof/>
          <w:lang w:val="es-AR" w:eastAsia="es-MX"/>
        </w:rPr>
        <w:t>a</w:t>
      </w:r>
      <w:r w:rsidR="00003D47" w:rsidRPr="008B5D7F">
        <w:rPr>
          <w:rFonts w:cstheme="minorHAnsi"/>
          <w:noProof/>
          <w:lang w:val="es-AR" w:eastAsia="es-MX"/>
        </w:rPr>
        <w:t xml:space="preserve"> efectos de</w:t>
      </w:r>
      <w:r w:rsidRPr="008B5D7F">
        <w:rPr>
          <w:rFonts w:cstheme="minorHAnsi"/>
          <w:noProof/>
          <w:lang w:val="es-AR" w:eastAsia="es-MX"/>
        </w:rPr>
        <w:t xml:space="preserve"> brindar</w:t>
      </w:r>
      <w:r w:rsidR="00483D60" w:rsidRPr="008B5D7F">
        <w:rPr>
          <w:rFonts w:cstheme="minorHAnsi"/>
          <w:noProof/>
          <w:lang w:val="es-AR" w:eastAsia="es-MX"/>
        </w:rPr>
        <w:t xml:space="preserve"> una base para futuros </w:t>
      </w:r>
      <w:r w:rsidRPr="008B5D7F">
        <w:rPr>
          <w:rFonts w:cstheme="minorHAnsi"/>
          <w:noProof/>
          <w:lang w:val="es-AR" w:eastAsia="es-MX"/>
        </w:rPr>
        <w:t>cambios en materia impositiva necesarios para hacer al sistema tributario más eficiente.</w:t>
      </w:r>
    </w:p>
    <w:p w14:paraId="7834F4E8" w14:textId="1B4AF7E4" w:rsidR="00210D0D" w:rsidRPr="008B5D7F" w:rsidRDefault="00003D47" w:rsidP="008B5D7F">
      <w:pPr>
        <w:spacing w:line="240" w:lineRule="auto"/>
        <w:rPr>
          <w:rFonts w:cstheme="minorHAnsi"/>
          <w:noProof/>
          <w:lang w:val="es-AR" w:eastAsia="es-MX"/>
        </w:rPr>
      </w:pPr>
      <w:r w:rsidRPr="008B5D7F">
        <w:rPr>
          <w:rFonts w:cstheme="minorHAnsi"/>
          <w:noProof/>
          <w:lang w:val="es-AR" w:eastAsia="es-MX"/>
        </w:rPr>
        <w:t>E</w:t>
      </w:r>
      <w:r w:rsidR="003E6F1A" w:rsidRPr="008B5D7F">
        <w:rPr>
          <w:rFonts w:cstheme="minorHAnsi"/>
          <w:noProof/>
          <w:lang w:val="es-AR" w:eastAsia="es-MX"/>
        </w:rPr>
        <w:t xml:space="preserve">l presente trabajo busca </w:t>
      </w:r>
      <w:r w:rsidR="00613CBB" w:rsidRPr="008B5D7F">
        <w:rPr>
          <w:rFonts w:cstheme="minorHAnsi"/>
          <w:noProof/>
          <w:lang w:val="es-AR" w:eastAsia="es-MX"/>
        </w:rPr>
        <w:t xml:space="preserve">medir </w:t>
      </w:r>
      <w:r w:rsidR="003E6F1A" w:rsidRPr="008B5D7F">
        <w:rPr>
          <w:rFonts w:cstheme="minorHAnsi"/>
          <w:noProof/>
          <w:lang w:val="es-AR" w:eastAsia="es-MX"/>
        </w:rPr>
        <w:t>el esfuerzo fiscal y la capacidad fiscal de las provincias argentinas en los últimos 20 años</w:t>
      </w:r>
      <w:r w:rsidRPr="008B5D7F">
        <w:rPr>
          <w:rFonts w:cstheme="minorHAnsi"/>
          <w:noProof/>
          <w:lang w:val="es-AR" w:eastAsia="es-MX"/>
        </w:rPr>
        <w:t xml:space="preserve"> (1993-2014</w:t>
      </w:r>
      <w:r w:rsidR="00EE621F">
        <w:rPr>
          <w:rFonts w:cstheme="minorHAnsi"/>
          <w:noProof/>
          <w:lang w:val="es-AR" w:eastAsia="es-MX"/>
        </w:rPr>
        <w:t>) identificando que variables resultana propiadas para el caso de las provincias argentinas</w:t>
      </w:r>
      <w:r w:rsidR="00210D0D" w:rsidRPr="008B5D7F">
        <w:rPr>
          <w:rFonts w:cstheme="minorHAnsi"/>
          <w:noProof/>
          <w:lang w:val="es-AR" w:eastAsia="es-MX"/>
        </w:rPr>
        <w:t>. También se propone analizar la evolución del esfuerzo de cada provincia argentina en los últimos 20 años</w:t>
      </w:r>
      <w:r w:rsidR="00EE621F">
        <w:rPr>
          <w:rFonts w:cstheme="minorHAnsi"/>
          <w:noProof/>
          <w:lang w:val="es-AR" w:eastAsia="es-MX"/>
        </w:rPr>
        <w:t>. Sumado a esto de busca</w:t>
      </w:r>
      <w:r w:rsidR="00210D0D" w:rsidRPr="008B5D7F">
        <w:rPr>
          <w:rFonts w:cstheme="minorHAnsi"/>
          <w:noProof/>
          <w:lang w:val="es-AR" w:eastAsia="es-MX"/>
        </w:rPr>
        <w:t xml:space="preserve"> determinar qué provincias presentan bajo esfuerzo fiscal y cuáles alto.</w:t>
      </w:r>
    </w:p>
    <w:p w14:paraId="4A08E26D" w14:textId="78A70DD4" w:rsidR="00210D0D" w:rsidRPr="008B5D7F" w:rsidRDefault="00EE621F" w:rsidP="008B5D7F">
      <w:pPr>
        <w:spacing w:line="240" w:lineRule="auto"/>
        <w:rPr>
          <w:rFonts w:cstheme="minorHAnsi"/>
          <w:noProof/>
          <w:lang w:val="es-AR" w:eastAsia="es-MX"/>
        </w:rPr>
      </w:pPr>
      <w:r>
        <w:rPr>
          <w:rFonts w:cstheme="minorHAnsi"/>
          <w:noProof/>
          <w:lang w:val="es-AR" w:eastAsia="es-MX"/>
        </w:rPr>
        <w:t>Las hipótesis planteadas son</w:t>
      </w:r>
      <w:r w:rsidR="00210D0D" w:rsidRPr="008B5D7F">
        <w:rPr>
          <w:rFonts w:cstheme="minorHAnsi"/>
          <w:noProof/>
          <w:lang w:val="es-AR" w:eastAsia="es-MX"/>
        </w:rPr>
        <w:t xml:space="preserve"> que las provincias con mayores ingresos propios tienen mayor capacidad fiscal, que existe una relación negativa entre las transferencias no condicionadas y el esfuerzo fiscal y, que las provincias con mayor capacidad fiscal no hacen el mayor esfuerzo fiscal (comparativo entre provincias).</w:t>
      </w:r>
    </w:p>
    <w:p w14:paraId="167FD238" w14:textId="615647BA" w:rsidR="00C32CE0" w:rsidRPr="008B5D7F" w:rsidRDefault="00210D0D" w:rsidP="008B5D7F">
      <w:pPr>
        <w:spacing w:line="240" w:lineRule="auto"/>
        <w:rPr>
          <w:rFonts w:cstheme="minorHAnsi"/>
          <w:lang w:val="es-AR"/>
        </w:rPr>
      </w:pPr>
      <w:r w:rsidRPr="008B5D7F">
        <w:rPr>
          <w:rFonts w:cstheme="minorHAnsi"/>
          <w:noProof/>
          <w:lang w:val="es-AR" w:eastAsia="es-MX"/>
        </w:rPr>
        <w:t>Se calcul</w:t>
      </w:r>
      <w:r w:rsidR="00EE621F">
        <w:rPr>
          <w:rFonts w:cstheme="minorHAnsi"/>
          <w:noProof/>
          <w:lang w:val="es-AR" w:eastAsia="es-MX"/>
        </w:rPr>
        <w:t>aron</w:t>
      </w:r>
      <w:r w:rsidRPr="008B5D7F">
        <w:rPr>
          <w:rFonts w:cstheme="minorHAnsi"/>
          <w:noProof/>
          <w:lang w:val="es-AR" w:eastAsia="es-MX"/>
        </w:rPr>
        <w:t xml:space="preserve"> dos aproximaciones empíricas</w:t>
      </w:r>
      <w:r w:rsidR="0002396E" w:rsidRPr="008B5D7F">
        <w:rPr>
          <w:rFonts w:cstheme="minorHAnsi"/>
          <w:noProof/>
          <w:lang w:val="es-AR" w:eastAsia="es-MX"/>
        </w:rPr>
        <w:t xml:space="preserve"> de esfuerzo fiscal y dos de capacidad fiscal a través de ratios, y una aproximación econométrica al esfuerzo fiscal.</w:t>
      </w:r>
      <w:r w:rsidR="00C32CE0" w:rsidRPr="008B5D7F">
        <w:rPr>
          <w:rFonts w:cstheme="minorHAnsi"/>
          <w:noProof/>
          <w:lang w:val="es-AR" w:eastAsia="es-MX"/>
        </w:rPr>
        <w:t xml:space="preserve"> </w:t>
      </w:r>
      <w:r w:rsidR="00C32CE0" w:rsidRPr="008B5D7F">
        <w:rPr>
          <w:rFonts w:cstheme="minorHAnsi"/>
          <w:lang w:val="es-AR"/>
        </w:rPr>
        <w:t>Los resultados obtenidos a través del análisis econométrico difieren de los obtenidos a través del cálculo de ratios.</w:t>
      </w:r>
    </w:p>
    <w:p w14:paraId="4D9269F5" w14:textId="2884CAFD" w:rsidR="0002396E" w:rsidRPr="008B5D7F" w:rsidRDefault="0002396E" w:rsidP="008B5D7F">
      <w:pPr>
        <w:spacing w:line="240" w:lineRule="auto"/>
        <w:rPr>
          <w:rFonts w:cstheme="minorHAnsi"/>
          <w:lang w:val="es-AR"/>
        </w:rPr>
      </w:pPr>
      <w:r w:rsidRPr="008B5D7F">
        <w:rPr>
          <w:rFonts w:cstheme="minorHAnsi"/>
          <w:lang w:val="es-AR"/>
        </w:rPr>
        <w:t xml:space="preserve">Se puede destacar que para las dos aproximaciones </w:t>
      </w:r>
      <w:r w:rsidR="00D61FA8" w:rsidRPr="008B5D7F">
        <w:rPr>
          <w:rFonts w:cstheme="minorHAnsi"/>
          <w:lang w:val="es-AR"/>
        </w:rPr>
        <w:t xml:space="preserve">(ratios) </w:t>
      </w:r>
      <w:r w:rsidRPr="008B5D7F">
        <w:rPr>
          <w:rFonts w:cstheme="minorHAnsi"/>
          <w:lang w:val="es-AR"/>
        </w:rPr>
        <w:t>de EF los resultados obtenidos, en términos relativos, son similares; sin embargo esto no ocurre en el caso de las dos aproximaciones elegidas para la CF.</w:t>
      </w:r>
    </w:p>
    <w:p w14:paraId="12DFA471" w14:textId="0C22E47A" w:rsidR="0002396E" w:rsidRPr="008B5D7F" w:rsidRDefault="0002396E" w:rsidP="008B5D7F">
      <w:pPr>
        <w:spacing w:line="240" w:lineRule="auto"/>
        <w:rPr>
          <w:rFonts w:cstheme="minorHAnsi"/>
          <w:lang w:val="es-AR"/>
        </w:rPr>
      </w:pPr>
      <w:r w:rsidRPr="008B5D7F">
        <w:rPr>
          <w:rFonts w:cstheme="minorHAnsi"/>
          <w:lang w:val="es-AR"/>
        </w:rPr>
        <w:t>A través del cálculo de correlaciones se encontró que existe una relación positiva entre ingresos propios y capacidad fiscal de las provincias argentinas, y una relación negativa entre las transferencias no automáticas y el esfuerzo fiscal. Por otro lado, la relación entre la capacidad fiscal y el esfuerzo fiscal dio positiva</w:t>
      </w:r>
      <w:r w:rsidR="00C32CE0" w:rsidRPr="008B5D7F">
        <w:rPr>
          <w:rFonts w:cstheme="minorHAnsi"/>
          <w:lang w:val="es-AR"/>
        </w:rPr>
        <w:t>.</w:t>
      </w:r>
    </w:p>
    <w:p w14:paraId="69DD6D66" w14:textId="2279F575" w:rsidR="00A774CA" w:rsidRPr="008B5D7F" w:rsidRDefault="0002396E" w:rsidP="008B5D7F">
      <w:pPr>
        <w:spacing w:line="240" w:lineRule="auto"/>
        <w:rPr>
          <w:rFonts w:cstheme="minorHAnsi"/>
          <w:lang w:val="es-AR"/>
        </w:rPr>
      </w:pPr>
      <w:r w:rsidRPr="008B5D7F">
        <w:rPr>
          <w:rFonts w:cstheme="minorHAnsi"/>
          <w:lang w:val="es-AR"/>
        </w:rPr>
        <w:t>De acuerdo a los resultados obtenidos por las distintas aproximaciones, pareciera que es difícil revertir una situación fiscal determinada dado que en general las provincias mantuvieron su posición relativa al promedio. Esto resalta la importancia de lograr una situación fiscal adecuada dada l</w:t>
      </w:r>
      <w:r w:rsidR="00410B42" w:rsidRPr="008B5D7F">
        <w:rPr>
          <w:rFonts w:cstheme="minorHAnsi"/>
          <w:lang w:val="es-AR"/>
        </w:rPr>
        <w:t>a dificultad de realizar cambiar la situación de esfuerzo fiscal evidenciada por las provincias en el periodo analizado</w:t>
      </w:r>
      <w:r w:rsidRPr="008B5D7F">
        <w:rPr>
          <w:rFonts w:cstheme="minorHAnsi"/>
          <w:lang w:val="es-AR"/>
        </w:rPr>
        <w:t>.</w:t>
      </w:r>
    </w:p>
    <w:p w14:paraId="72C16D6D" w14:textId="6A119388" w:rsidR="006D4CC7" w:rsidRPr="00A774CA" w:rsidRDefault="00A774CA" w:rsidP="008B5D7F">
      <w:pPr>
        <w:pStyle w:val="Ttulo1"/>
        <w:spacing w:before="60" w:after="60"/>
        <w:ind w:firstLine="0"/>
        <w:rPr>
          <w:lang w:val="es-AR"/>
        </w:rPr>
      </w:pPr>
      <w:bookmarkStart w:id="1" w:name="_Toc491725409"/>
      <w:r w:rsidRPr="00A774CA">
        <w:rPr>
          <w:lang w:val="es-AR"/>
        </w:rPr>
        <w:t xml:space="preserve">CAPÍTULO I: </w:t>
      </w:r>
      <w:r w:rsidR="006D4CC7" w:rsidRPr="00A774CA">
        <w:rPr>
          <w:lang w:val="es-AR"/>
        </w:rPr>
        <w:t>REVISIÓN DE CONCEPTOS</w:t>
      </w:r>
      <w:r w:rsidR="00FD6504" w:rsidRPr="00A774CA">
        <w:rPr>
          <w:lang w:val="es-AR"/>
        </w:rPr>
        <w:t xml:space="preserve"> Y CÁLCULOS EMPÍRICOS</w:t>
      </w:r>
      <w:bookmarkEnd w:id="1"/>
    </w:p>
    <w:p w14:paraId="018FEEE1" w14:textId="39A0EDDA" w:rsidR="006D4CC7" w:rsidRPr="008B5D7F" w:rsidRDefault="002B075A" w:rsidP="008B5D7F">
      <w:pPr>
        <w:spacing w:line="240" w:lineRule="auto"/>
        <w:rPr>
          <w:rFonts w:cstheme="minorHAnsi"/>
          <w:lang w:val="es-AR"/>
        </w:rPr>
      </w:pPr>
      <w:r w:rsidRPr="008B5D7F">
        <w:rPr>
          <w:rFonts w:cstheme="minorHAnsi"/>
          <w:lang w:val="es-AR"/>
        </w:rPr>
        <w:t xml:space="preserve">El tema del esfuerzo fiscal es, dentro de las finanzas públicas, un tema bastante reciente, debido principalmente a que </w:t>
      </w:r>
      <w:r w:rsidRPr="008B5D7F">
        <w:rPr>
          <w:rFonts w:cstheme="minorHAnsi"/>
          <w:i/>
          <w:lang w:val="es-AR"/>
        </w:rPr>
        <w:t>“la primera aproximación que se realiza al concepto de esfuerzo fiscal es la de Frank”</w:t>
      </w:r>
      <w:r w:rsidRPr="008B5D7F">
        <w:rPr>
          <w:rFonts w:cstheme="minorHAnsi"/>
          <w:lang w:val="es-AR"/>
        </w:rPr>
        <w:t xml:space="preserve"> en el año 1959</w:t>
      </w:r>
      <w:r w:rsidR="000709AE" w:rsidRPr="008B5D7F">
        <w:rPr>
          <w:rFonts w:cstheme="minorHAnsi"/>
          <w:lang w:val="es-AR"/>
        </w:rPr>
        <w:t xml:space="preserve"> (López Casasnovas </w:t>
      </w:r>
      <w:r w:rsidR="00410B42" w:rsidRPr="008B5D7F">
        <w:rPr>
          <w:rFonts w:cstheme="minorHAnsi"/>
          <w:lang w:val="es-AR"/>
        </w:rPr>
        <w:t>et al.</w:t>
      </w:r>
      <w:r w:rsidR="000709AE" w:rsidRPr="008B5D7F">
        <w:rPr>
          <w:rFonts w:cstheme="minorHAnsi"/>
          <w:lang w:val="es-AR"/>
        </w:rPr>
        <w:t>, 2002)</w:t>
      </w:r>
      <w:r w:rsidRPr="008B5D7F">
        <w:rPr>
          <w:rFonts w:cstheme="minorHAnsi"/>
          <w:lang w:val="es-AR"/>
        </w:rPr>
        <w:t>. Por esta razón parece adecuado referirse al mismo como un objeto de investigación relativamente nuevo.</w:t>
      </w:r>
    </w:p>
    <w:p w14:paraId="0455E7B8" w14:textId="3951A594" w:rsidR="00860384" w:rsidRPr="008B5D7F" w:rsidRDefault="00860384" w:rsidP="008B5D7F">
      <w:pPr>
        <w:spacing w:line="240" w:lineRule="auto"/>
        <w:rPr>
          <w:rFonts w:cstheme="minorHAnsi"/>
          <w:lang w:val="es-AR"/>
        </w:rPr>
      </w:pPr>
      <w:r w:rsidRPr="008B5D7F">
        <w:rPr>
          <w:rFonts w:cstheme="minorHAnsi"/>
          <w:lang w:val="es-AR"/>
        </w:rPr>
        <w:lastRenderedPageBreak/>
        <w:t>Rabell García en Federalismo Fiscal en México (2010)</w:t>
      </w:r>
      <w:r w:rsidR="00FD6504" w:rsidRPr="008B5D7F">
        <w:rPr>
          <w:rFonts w:cstheme="minorHAnsi"/>
          <w:lang w:val="es-AR"/>
        </w:rPr>
        <w:t xml:space="preserve"> menciona que</w:t>
      </w:r>
      <w:r w:rsidRPr="008B5D7F">
        <w:rPr>
          <w:rFonts w:cstheme="minorHAnsi"/>
          <w:lang w:val="es-AR"/>
        </w:rPr>
        <w:t xml:space="preserve"> el </w:t>
      </w:r>
      <w:r w:rsidRPr="008B5D7F">
        <w:rPr>
          <w:rFonts w:cstheme="minorHAnsi"/>
          <w:i/>
          <w:lang w:val="es-AR"/>
        </w:rPr>
        <w:t>“esfuerzo fiscal busca analizar la capacidad administrativa para obtener ingresos”,</w:t>
      </w:r>
      <w:r w:rsidRPr="008B5D7F">
        <w:rPr>
          <w:rFonts w:cstheme="minorHAnsi"/>
          <w:lang w:val="es-AR"/>
        </w:rPr>
        <w:t xml:space="preserve"> con la aclaración de que </w:t>
      </w:r>
      <w:r w:rsidRPr="008B5D7F">
        <w:rPr>
          <w:rFonts w:cstheme="minorHAnsi"/>
          <w:i/>
          <w:lang w:val="es-AR"/>
        </w:rPr>
        <w:t>“su utilidad radica en que estos conceptos son aplicados en forma directa o indirecta como base de las fórmulas de asignación de los fondos que son transferidos a otros niveles de gobierno”</w:t>
      </w:r>
      <w:r w:rsidRPr="008B5D7F">
        <w:rPr>
          <w:rFonts w:cstheme="minorHAnsi"/>
          <w:lang w:val="es-AR"/>
        </w:rPr>
        <w:t>, pudiendo agregarse a esta afirmación que además de su utilidad, también allí radica su gran relevancia.</w:t>
      </w:r>
    </w:p>
    <w:p w14:paraId="071182F6" w14:textId="77DB2DCB" w:rsidR="002A7672" w:rsidRPr="008B5D7F" w:rsidRDefault="00016F3D" w:rsidP="008B5D7F">
      <w:pPr>
        <w:spacing w:line="240" w:lineRule="auto"/>
        <w:rPr>
          <w:rFonts w:cstheme="minorHAnsi"/>
          <w:lang w:val="es-AR"/>
        </w:rPr>
      </w:pPr>
      <w:r w:rsidRPr="008B5D7F">
        <w:rPr>
          <w:rFonts w:cstheme="minorHAnsi"/>
          <w:lang w:val="es-AR"/>
        </w:rPr>
        <w:t>Seg</w:t>
      </w:r>
      <w:r w:rsidR="00860384" w:rsidRPr="008B5D7F">
        <w:rPr>
          <w:rFonts w:cstheme="minorHAnsi"/>
          <w:lang w:val="es-AR"/>
        </w:rPr>
        <w:t xml:space="preserve">ún Zabalza </w:t>
      </w:r>
      <w:r w:rsidR="00D14F2D" w:rsidRPr="008B5D7F">
        <w:rPr>
          <w:rFonts w:cstheme="minorHAnsi"/>
          <w:lang w:val="es-AR"/>
        </w:rPr>
        <w:t>y Lasheras</w:t>
      </w:r>
      <w:r w:rsidR="00FD6504" w:rsidRPr="008B5D7F">
        <w:rPr>
          <w:rFonts w:cstheme="minorHAnsi"/>
          <w:lang w:val="es-AR"/>
        </w:rPr>
        <w:t xml:space="preserve"> (1999)</w:t>
      </w:r>
      <w:r w:rsidRPr="008B5D7F">
        <w:rPr>
          <w:rFonts w:cstheme="minorHAnsi"/>
          <w:lang w:val="es-AR"/>
        </w:rPr>
        <w:t xml:space="preserve">, el esfuerzo fiscal es el </w:t>
      </w:r>
      <w:r w:rsidRPr="008B5D7F">
        <w:rPr>
          <w:rFonts w:cstheme="minorHAnsi"/>
          <w:i/>
          <w:lang w:val="es-AR"/>
        </w:rPr>
        <w:t>“grado de acercamiento entre su [</w:t>
      </w:r>
      <w:r w:rsidR="00D14F2D" w:rsidRPr="008B5D7F">
        <w:rPr>
          <w:rFonts w:cstheme="minorHAnsi"/>
          <w:i/>
          <w:lang w:val="es-AR"/>
        </w:rPr>
        <w:t>de la c</w:t>
      </w:r>
      <w:r w:rsidRPr="008B5D7F">
        <w:rPr>
          <w:rFonts w:cstheme="minorHAnsi"/>
          <w:i/>
          <w:lang w:val="es-AR"/>
        </w:rPr>
        <w:t>omunidad] recaudación real y la recaudación teórica que debería obtenerse bajo determinadas condiciones estándar</w:t>
      </w:r>
      <w:r w:rsidRPr="008B5D7F">
        <w:rPr>
          <w:rFonts w:cstheme="minorHAnsi"/>
          <w:lang w:val="es-AR"/>
        </w:rPr>
        <w:t xml:space="preserve">”, y </w:t>
      </w:r>
      <w:r w:rsidR="00FD6504" w:rsidRPr="008B5D7F">
        <w:rPr>
          <w:rFonts w:cstheme="minorHAnsi"/>
          <w:lang w:val="es-AR"/>
        </w:rPr>
        <w:t xml:space="preserve">que </w:t>
      </w:r>
      <w:r w:rsidRPr="008B5D7F">
        <w:rPr>
          <w:rFonts w:cstheme="minorHAnsi"/>
          <w:lang w:val="es-AR"/>
        </w:rPr>
        <w:t xml:space="preserve">cuando se arma un índice de esfuerzo relativo </w:t>
      </w:r>
      <w:r w:rsidRPr="008B5D7F">
        <w:rPr>
          <w:rFonts w:cstheme="minorHAnsi"/>
          <w:i/>
          <w:lang w:val="es-AR"/>
        </w:rPr>
        <w:t>“lo importante no es tanto el grado de cumplimiento total, como la diferencia entre el grado de cumplimiento de la Comunidad en cuestión y un determinado cumplimiento estándar (el medio, por ejemplo)</w:t>
      </w:r>
      <w:r w:rsidRPr="008B5D7F">
        <w:rPr>
          <w:rFonts w:cstheme="minorHAnsi"/>
          <w:lang w:val="es-AR"/>
        </w:rPr>
        <w:t>”.</w:t>
      </w:r>
    </w:p>
    <w:p w14:paraId="29A7E7F2" w14:textId="1788F027" w:rsidR="002A7672" w:rsidRPr="008B5D7F" w:rsidRDefault="00970FA9" w:rsidP="008B5D7F">
      <w:pPr>
        <w:spacing w:line="240" w:lineRule="auto"/>
        <w:rPr>
          <w:rFonts w:cstheme="minorHAnsi"/>
          <w:lang w:val="es-AR"/>
        </w:rPr>
      </w:pPr>
      <w:r w:rsidRPr="008B5D7F">
        <w:rPr>
          <w:rFonts w:cstheme="minorHAnsi"/>
          <w:lang w:val="es-AR"/>
        </w:rPr>
        <w:t xml:space="preserve">Según </w:t>
      </w:r>
      <w:r w:rsidR="005A727D" w:rsidRPr="008B5D7F">
        <w:rPr>
          <w:rFonts w:cstheme="minorHAnsi"/>
          <w:lang w:val="es-AR"/>
        </w:rPr>
        <w:t>Sour</w:t>
      </w:r>
      <w:r w:rsidR="00456943" w:rsidRPr="008B5D7F">
        <w:rPr>
          <w:rFonts w:cstheme="minorHAnsi"/>
          <w:lang w:val="es-AR"/>
        </w:rPr>
        <w:t xml:space="preserve"> (2008)</w:t>
      </w:r>
      <w:r w:rsidR="005A727D" w:rsidRPr="008B5D7F">
        <w:rPr>
          <w:rFonts w:cstheme="minorHAnsi"/>
          <w:lang w:val="es-AR"/>
        </w:rPr>
        <w:t xml:space="preserve"> </w:t>
      </w:r>
      <w:r w:rsidRPr="008B5D7F">
        <w:rPr>
          <w:rFonts w:cstheme="minorHAnsi"/>
          <w:lang w:val="es-AR"/>
        </w:rPr>
        <w:t xml:space="preserve">el </w:t>
      </w:r>
      <w:r w:rsidR="00456943" w:rsidRPr="008B5D7F">
        <w:rPr>
          <w:rFonts w:cstheme="minorHAnsi"/>
          <w:lang w:val="es-AR"/>
        </w:rPr>
        <w:t>Esfuerzo Fiscal (</w:t>
      </w:r>
      <w:r w:rsidRPr="008B5D7F">
        <w:rPr>
          <w:rFonts w:cstheme="minorHAnsi"/>
          <w:lang w:val="es-AR"/>
        </w:rPr>
        <w:t>EF</w:t>
      </w:r>
      <w:r w:rsidR="00456943" w:rsidRPr="008B5D7F">
        <w:rPr>
          <w:rFonts w:cstheme="minorHAnsi"/>
          <w:lang w:val="es-AR"/>
        </w:rPr>
        <w:t>)</w:t>
      </w:r>
      <w:r w:rsidRPr="008B5D7F">
        <w:rPr>
          <w:rFonts w:cstheme="minorHAnsi"/>
          <w:lang w:val="es-AR"/>
        </w:rPr>
        <w:t xml:space="preserve"> es el esfuerzo por recaudar, y </w:t>
      </w:r>
      <w:r w:rsidRPr="008B5D7F">
        <w:rPr>
          <w:rFonts w:cstheme="minorHAnsi"/>
          <w:i/>
          <w:lang w:val="es-AR"/>
        </w:rPr>
        <w:t>“representa la brecha entre la recaudación de determinada región (estado o instancia local) y su capacidad fiscal”</w:t>
      </w:r>
      <w:r w:rsidRPr="008B5D7F">
        <w:rPr>
          <w:rFonts w:cstheme="minorHAnsi"/>
          <w:lang w:val="es-AR"/>
        </w:rPr>
        <w:t>. Siendo la forma matemática de representarlo la siguiente:</w:t>
      </w:r>
    </w:p>
    <w:p w14:paraId="7B71CAB3" w14:textId="4CA6C451" w:rsidR="00456943" w:rsidRPr="008B5D7F" w:rsidRDefault="006D2BF4" w:rsidP="008B5D7F">
      <w:pPr>
        <w:spacing w:line="240" w:lineRule="auto"/>
        <w:rPr>
          <w:rFonts w:cstheme="minorHAnsi"/>
          <w:lang w:val="es-AR"/>
        </w:rPr>
      </w:pPr>
      <m:oMathPara>
        <m:oMath>
          <m:r>
            <w:rPr>
              <w:rFonts w:ascii="Cambria Math" w:hAnsi="Cambria Math" w:cstheme="minorHAnsi"/>
              <w:lang w:val="es-AR"/>
            </w:rPr>
            <m:t>Esfuerzo fiscal=</m:t>
          </m:r>
          <m:f>
            <m:fPr>
              <m:ctrlPr>
                <w:rPr>
                  <w:rFonts w:ascii="Cambria Math" w:hAnsi="Cambria Math" w:cstheme="minorHAnsi"/>
                  <w:i/>
                  <w:lang w:val="es-AR"/>
                </w:rPr>
              </m:ctrlPr>
            </m:fPr>
            <m:num>
              <m:r>
                <w:rPr>
                  <w:rFonts w:ascii="Cambria Math" w:hAnsi="Cambria Math" w:cstheme="minorHAnsi"/>
                  <w:lang w:val="es-AR"/>
                </w:rPr>
                <m:t>Recaudación Actual</m:t>
              </m:r>
            </m:num>
            <m:den>
              <m:r>
                <w:rPr>
                  <w:rFonts w:ascii="Cambria Math" w:hAnsi="Cambria Math" w:cstheme="minorHAnsi"/>
                  <w:lang w:val="es-AR"/>
                </w:rPr>
                <m:t>Capacidad Fiscal</m:t>
              </m:r>
            </m:den>
          </m:f>
        </m:oMath>
      </m:oMathPara>
    </w:p>
    <w:p w14:paraId="0E6EF0A2" w14:textId="4BB059C5" w:rsidR="00147FAC" w:rsidRPr="008B5D7F" w:rsidRDefault="00970FA9" w:rsidP="008B5D7F">
      <w:pPr>
        <w:spacing w:line="240" w:lineRule="auto"/>
        <w:rPr>
          <w:rFonts w:cstheme="minorHAnsi"/>
          <w:lang w:val="es-AR"/>
        </w:rPr>
      </w:pPr>
      <w:r w:rsidRPr="008B5D7F">
        <w:rPr>
          <w:rFonts w:cstheme="minorHAnsi"/>
          <w:lang w:val="es-AR"/>
        </w:rPr>
        <w:t xml:space="preserve">Donde </w:t>
      </w:r>
      <w:r w:rsidRPr="008B5D7F">
        <w:rPr>
          <w:rFonts w:cstheme="minorHAnsi"/>
          <w:i/>
          <w:lang w:val="es-AR"/>
        </w:rPr>
        <w:t>“el problema radica en el cálculo del denominador, es decir, de la capacidad fiscal”</w:t>
      </w:r>
      <w:r w:rsidRPr="008B5D7F">
        <w:rPr>
          <w:rFonts w:cstheme="minorHAnsi"/>
          <w:lang w:val="es-AR"/>
        </w:rPr>
        <w:t xml:space="preserve">. </w:t>
      </w:r>
      <w:r w:rsidR="00147FAC" w:rsidRPr="008B5D7F">
        <w:rPr>
          <w:rFonts w:cstheme="minorHAnsi"/>
          <w:lang w:val="es-AR"/>
        </w:rPr>
        <w:t xml:space="preserve">Esta autora </w:t>
      </w:r>
      <w:r w:rsidR="00410B42" w:rsidRPr="008B5D7F">
        <w:rPr>
          <w:rFonts w:cstheme="minorHAnsi"/>
          <w:lang w:val="es-AR"/>
        </w:rPr>
        <w:t>cita a</w:t>
      </w:r>
      <w:r w:rsidR="00147FAC" w:rsidRPr="008B5D7F">
        <w:rPr>
          <w:rFonts w:cstheme="minorHAnsi"/>
          <w:lang w:val="es-AR"/>
        </w:rPr>
        <w:t xml:space="preserve"> </w:t>
      </w:r>
      <w:r w:rsidRPr="008B5D7F">
        <w:rPr>
          <w:rFonts w:cstheme="minorHAnsi"/>
          <w:lang w:val="es-AR"/>
        </w:rPr>
        <w:t>Vázquez y Boex</w:t>
      </w:r>
      <w:r w:rsidR="00147FAC" w:rsidRPr="008B5D7F">
        <w:rPr>
          <w:rFonts w:cstheme="minorHAnsi"/>
          <w:lang w:val="es-AR"/>
        </w:rPr>
        <w:t xml:space="preserve"> (1997)</w:t>
      </w:r>
      <w:r w:rsidR="00410B42" w:rsidRPr="008B5D7F">
        <w:rPr>
          <w:rFonts w:cstheme="minorHAnsi"/>
          <w:lang w:val="es-AR"/>
        </w:rPr>
        <w:t xml:space="preserve"> que</w:t>
      </w:r>
      <w:r w:rsidR="00147FAC" w:rsidRPr="008B5D7F">
        <w:rPr>
          <w:rFonts w:cstheme="minorHAnsi"/>
          <w:lang w:val="es-AR"/>
        </w:rPr>
        <w:t xml:space="preserve"> enuncian que</w:t>
      </w:r>
      <w:r w:rsidR="00B82BA0" w:rsidRPr="008B5D7F">
        <w:rPr>
          <w:rFonts w:cstheme="minorHAnsi"/>
          <w:lang w:val="es-AR"/>
        </w:rPr>
        <w:t xml:space="preserve"> </w:t>
      </w:r>
      <w:r w:rsidR="00147FAC" w:rsidRPr="008B5D7F">
        <w:rPr>
          <w:rFonts w:cstheme="minorHAnsi"/>
          <w:lang w:val="es-AR"/>
        </w:rPr>
        <w:t>la Capacidad F</w:t>
      </w:r>
      <w:r w:rsidRPr="008B5D7F">
        <w:rPr>
          <w:rFonts w:cstheme="minorHAnsi"/>
          <w:lang w:val="es-AR"/>
        </w:rPr>
        <w:t>iscal</w:t>
      </w:r>
      <w:r w:rsidR="00147FAC" w:rsidRPr="008B5D7F">
        <w:rPr>
          <w:rFonts w:cstheme="minorHAnsi"/>
          <w:lang w:val="es-AR"/>
        </w:rPr>
        <w:t xml:space="preserve"> (CF)</w:t>
      </w:r>
      <w:r w:rsidRPr="008B5D7F">
        <w:rPr>
          <w:rFonts w:cstheme="minorHAnsi"/>
          <w:lang w:val="es-AR"/>
        </w:rPr>
        <w:t xml:space="preserve"> es </w:t>
      </w:r>
      <w:r w:rsidRPr="008B5D7F">
        <w:rPr>
          <w:rFonts w:cstheme="minorHAnsi"/>
          <w:i/>
          <w:lang w:val="es-AR"/>
        </w:rPr>
        <w:t>“la habilidad potencial de una región para recaudar ingresos de sus propias fuentes y pagar por una canasta estandarizada de bienes y servicios públicos”</w:t>
      </w:r>
      <w:r w:rsidRPr="008B5D7F">
        <w:rPr>
          <w:rFonts w:cstheme="minorHAnsi"/>
          <w:lang w:val="es-AR"/>
        </w:rPr>
        <w:t xml:space="preserve">. </w:t>
      </w:r>
      <w:r w:rsidR="008151FC" w:rsidRPr="008B5D7F">
        <w:rPr>
          <w:rFonts w:cstheme="minorHAnsi"/>
          <w:lang w:val="es-AR"/>
        </w:rPr>
        <w:t xml:space="preserve">Según Johnson y Roswick (2000) </w:t>
      </w:r>
      <w:r w:rsidR="008151FC" w:rsidRPr="008B5D7F">
        <w:rPr>
          <w:rFonts w:cstheme="minorHAnsi"/>
          <w:i/>
          <w:lang w:val="es-AR"/>
        </w:rPr>
        <w:t xml:space="preserve">“la capacidad fiscal se puede definir en general como la capacidad de una jurisdicción para generar impuestos y otros ingresos de sus propias fuentes”. </w:t>
      </w:r>
      <w:r w:rsidR="008151FC" w:rsidRPr="008B5D7F">
        <w:rPr>
          <w:rFonts w:cstheme="minorHAnsi"/>
          <w:lang w:val="es-AR"/>
        </w:rPr>
        <w:t>Estos autores resaltan la importancia de evaluar la capacidad fiscal para la toma de decisiones.</w:t>
      </w:r>
    </w:p>
    <w:p w14:paraId="1C1D36DA" w14:textId="63DFD62A" w:rsidR="00970FA9" w:rsidRPr="008B5D7F" w:rsidRDefault="00147FAC" w:rsidP="008B5D7F">
      <w:pPr>
        <w:spacing w:line="240" w:lineRule="auto"/>
        <w:rPr>
          <w:rFonts w:cstheme="minorHAnsi"/>
          <w:lang w:val="es-AR"/>
        </w:rPr>
      </w:pPr>
      <w:r w:rsidRPr="008B5D7F">
        <w:rPr>
          <w:rFonts w:cstheme="minorHAnsi"/>
          <w:lang w:val="es-AR"/>
        </w:rPr>
        <w:t>Bird (1976), según Sour (2008), propone dos formas de lidiar con la dificultad de cálculo que presenta la CF:</w:t>
      </w:r>
      <w:r w:rsidR="00970FA9" w:rsidRPr="008B5D7F">
        <w:rPr>
          <w:rFonts w:cstheme="minorHAnsi"/>
          <w:lang w:val="es-AR"/>
        </w:rPr>
        <w:t xml:space="preserve"> </w:t>
      </w:r>
      <w:r w:rsidR="00970FA9" w:rsidRPr="008B5D7F">
        <w:rPr>
          <w:rFonts w:cstheme="minorHAnsi"/>
          <w:i/>
          <w:lang w:val="es-AR"/>
        </w:rPr>
        <w:t>“postulando un nivel impositivo ideal (o un mínimo), o bien tomando el promedio de diversos países que comparten características similares. Tal promedio indicará no solamente lo que el país puede lograr, sino lo que debe lograr</w:t>
      </w:r>
      <w:r w:rsidR="00970FA9" w:rsidRPr="008B5D7F">
        <w:rPr>
          <w:rFonts w:cstheme="minorHAnsi"/>
          <w:lang w:val="es-AR"/>
        </w:rPr>
        <w:t>”.</w:t>
      </w:r>
    </w:p>
    <w:p w14:paraId="0A693914" w14:textId="02176F76" w:rsidR="00FD1D83" w:rsidRPr="008B5D7F" w:rsidRDefault="00FD1D83" w:rsidP="008B5D7F">
      <w:pPr>
        <w:spacing w:line="240" w:lineRule="auto"/>
        <w:rPr>
          <w:rFonts w:cstheme="minorHAnsi"/>
          <w:lang w:val="es-AR"/>
        </w:rPr>
      </w:pPr>
      <w:r w:rsidRPr="008B5D7F">
        <w:rPr>
          <w:rFonts w:cstheme="minorHAnsi"/>
          <w:lang w:val="es-AR"/>
        </w:rPr>
        <w:t>También a efectos de medición de la</w:t>
      </w:r>
      <w:r w:rsidR="008151FC" w:rsidRPr="008B5D7F">
        <w:rPr>
          <w:rFonts w:cstheme="minorHAnsi"/>
          <w:lang w:val="es-AR"/>
        </w:rPr>
        <w:t xml:space="preserve"> capacidad fiscal</w:t>
      </w:r>
      <w:r w:rsidRPr="008B5D7F">
        <w:rPr>
          <w:rFonts w:cstheme="minorHAnsi"/>
          <w:lang w:val="es-AR"/>
        </w:rPr>
        <w:t xml:space="preserve"> Martínez Vázquez y Boex (1997)</w:t>
      </w:r>
      <w:r w:rsidR="008151FC" w:rsidRPr="008B5D7F">
        <w:rPr>
          <w:rFonts w:cstheme="minorHAnsi"/>
          <w:lang w:val="es-AR"/>
        </w:rPr>
        <w:t>, según Sour (2008),</w:t>
      </w:r>
      <w:r w:rsidRPr="008B5D7F">
        <w:rPr>
          <w:rFonts w:cstheme="minorHAnsi"/>
          <w:lang w:val="es-AR"/>
        </w:rPr>
        <w:t xml:space="preserve"> explican cinco métodos, con los aspectos positivos y negativos de la utilización de cada uno. Proponen la recaudación fiscal de un año base, que aunque resulta la forma más fácil de calcular la CF, es también la más inexacta ya que </w:t>
      </w:r>
      <w:r w:rsidR="00783704" w:rsidRPr="008B5D7F">
        <w:rPr>
          <w:rFonts w:cstheme="minorHAnsi"/>
          <w:lang w:val="es-AR"/>
        </w:rPr>
        <w:t>la recaudación depende de la capacidad fiscal como del esfuerzo fiscal de la región.</w:t>
      </w:r>
      <w:r w:rsidRPr="008B5D7F">
        <w:rPr>
          <w:rFonts w:cstheme="minorHAnsi"/>
          <w:lang w:val="es-AR"/>
        </w:rPr>
        <w:t xml:space="preserve"> También proponen hacerlo a través del ingreso per cápita, que si bien es la metodología más usada debido a su simpleza y accesibilidad, presenta la desventaja de </w:t>
      </w:r>
      <w:r w:rsidR="00783704" w:rsidRPr="008B5D7F">
        <w:rPr>
          <w:rFonts w:cstheme="minorHAnsi"/>
          <w:lang w:val="es-AR"/>
        </w:rPr>
        <w:t>no tener en cuenta todas las bases de recaudación disponibles de los gobiernos</w:t>
      </w:r>
      <w:r w:rsidRPr="008B5D7F">
        <w:rPr>
          <w:rFonts w:cstheme="minorHAnsi"/>
          <w:lang w:val="es-AR"/>
        </w:rPr>
        <w:t>.</w:t>
      </w:r>
      <w:r w:rsidR="00783704" w:rsidRPr="008B5D7F">
        <w:rPr>
          <w:rStyle w:val="Refdenotaalpie"/>
          <w:rFonts w:cstheme="minorHAnsi"/>
          <w:lang w:val="es-AR"/>
        </w:rPr>
        <w:t xml:space="preserve"> </w:t>
      </w:r>
    </w:p>
    <w:p w14:paraId="65C51C7A" w14:textId="77777777" w:rsidR="00FD1D83" w:rsidRPr="008B5D7F" w:rsidRDefault="00FD1D83" w:rsidP="008B5D7F">
      <w:pPr>
        <w:spacing w:line="240" w:lineRule="auto"/>
        <w:rPr>
          <w:rFonts w:cstheme="minorHAnsi"/>
          <w:lang w:val="es-AR"/>
        </w:rPr>
      </w:pPr>
      <w:r w:rsidRPr="008B5D7F">
        <w:rPr>
          <w:rFonts w:cstheme="minorHAnsi"/>
          <w:lang w:val="es-AR"/>
        </w:rPr>
        <w:t>Estos autores también proponen el cálculo de la CF a través del Producto Bruto Geográfico (PBG):</w:t>
      </w:r>
    </w:p>
    <w:p w14:paraId="3618E891" w14:textId="1EA22675" w:rsidR="00FD1D83" w:rsidRPr="008B5D7F" w:rsidRDefault="00FD1D83" w:rsidP="008B5D7F">
      <w:pPr>
        <w:spacing w:line="240" w:lineRule="auto"/>
        <w:ind w:left="709" w:right="709" w:firstLine="0"/>
        <w:rPr>
          <w:rFonts w:cstheme="minorHAnsi"/>
          <w:lang w:val="es-AR"/>
        </w:rPr>
      </w:pPr>
      <w:r w:rsidRPr="008B5D7F">
        <w:rPr>
          <w:rFonts w:cstheme="minorHAnsi"/>
          <w:lang w:val="es-AR"/>
        </w:rPr>
        <w:t>Dado que el valor de la producción es igual al pago de todos los factores productivos que participaron (tierra, trabajo y capital), el PRB</w:t>
      </w:r>
      <w:r w:rsidR="00ED0955" w:rsidRPr="008B5D7F">
        <w:rPr>
          <w:rFonts w:cstheme="minorHAnsi"/>
          <w:lang w:val="es-AR"/>
        </w:rPr>
        <w:t xml:space="preserve"> [Producto Regional Bruto]</w:t>
      </w:r>
      <w:r w:rsidRPr="008B5D7F">
        <w:rPr>
          <w:rFonts w:cstheme="minorHAnsi"/>
          <w:lang w:val="es-AR"/>
        </w:rPr>
        <w:t xml:space="preserve"> refleja el ingreso que recibieron las empresas y los trabajadores de la región en ese lapso de tiempo, de ahí que resulta una buena aproximación al total de recursos potencialmente gravables en la región. Esta medida es superior al ingreso per cápita, ya que incluye los ingresos generados en una región independientemente del lugar de residen</w:t>
      </w:r>
      <w:r w:rsidR="008151FC" w:rsidRPr="008B5D7F">
        <w:rPr>
          <w:rFonts w:cstheme="minorHAnsi"/>
          <w:lang w:val="es-AR"/>
        </w:rPr>
        <w:t>cia del trabajador o productor.</w:t>
      </w:r>
    </w:p>
    <w:p w14:paraId="6D5DCEB8" w14:textId="1D0EA3E4" w:rsidR="000318FB" w:rsidRPr="008B5D7F" w:rsidRDefault="008E4DA6" w:rsidP="008B5D7F">
      <w:pPr>
        <w:spacing w:line="240" w:lineRule="auto"/>
        <w:rPr>
          <w:rFonts w:cstheme="minorHAnsi"/>
          <w:lang w:val="es-AR"/>
        </w:rPr>
      </w:pPr>
      <w:r w:rsidRPr="008B5D7F">
        <w:rPr>
          <w:rFonts w:cstheme="minorHAnsi"/>
          <w:lang w:val="es-AR"/>
        </w:rPr>
        <w:lastRenderedPageBreak/>
        <w:t>A pesar de</w:t>
      </w:r>
      <w:r w:rsidR="00FD1D83" w:rsidRPr="008B5D7F">
        <w:rPr>
          <w:rFonts w:cstheme="minorHAnsi"/>
          <w:lang w:val="es-AR"/>
        </w:rPr>
        <w:t xml:space="preserve"> la am</w:t>
      </w:r>
      <w:r w:rsidRPr="008B5D7F">
        <w:rPr>
          <w:rFonts w:cstheme="minorHAnsi"/>
          <w:lang w:val="es-AR"/>
        </w:rPr>
        <w:t>plia inclusión de actividades</w:t>
      </w:r>
      <w:r w:rsidR="00FD1D83" w:rsidRPr="008B5D7F">
        <w:rPr>
          <w:rFonts w:cstheme="minorHAnsi"/>
          <w:lang w:val="es-AR"/>
        </w:rPr>
        <w:t xml:space="preserve"> </w:t>
      </w:r>
      <w:r w:rsidRPr="008B5D7F">
        <w:rPr>
          <w:rFonts w:cstheme="minorHAnsi"/>
          <w:lang w:val="es-AR"/>
        </w:rPr>
        <w:t xml:space="preserve">de </w:t>
      </w:r>
      <w:r w:rsidR="00FD1D83" w:rsidRPr="008B5D7F">
        <w:rPr>
          <w:rFonts w:cstheme="minorHAnsi"/>
          <w:lang w:val="es-AR"/>
        </w:rPr>
        <w:t xml:space="preserve">este </w:t>
      </w:r>
      <w:r w:rsidRPr="008B5D7F">
        <w:rPr>
          <w:rFonts w:cstheme="minorHAnsi"/>
          <w:lang w:val="es-AR"/>
        </w:rPr>
        <w:t>método</w:t>
      </w:r>
      <w:r w:rsidR="00FD1D83" w:rsidRPr="008B5D7F">
        <w:rPr>
          <w:rFonts w:cstheme="minorHAnsi"/>
          <w:lang w:val="es-AR"/>
        </w:rPr>
        <w:t>, presenta una desventaja importante</w:t>
      </w:r>
      <w:r w:rsidRPr="008B5D7F">
        <w:rPr>
          <w:rFonts w:cstheme="minorHAnsi"/>
          <w:lang w:val="es-AR"/>
        </w:rPr>
        <w:t>, “</w:t>
      </w:r>
      <w:r w:rsidR="00FD1D83" w:rsidRPr="008B5D7F">
        <w:rPr>
          <w:rFonts w:cstheme="minorHAnsi"/>
          <w:lang w:val="es-AR"/>
        </w:rPr>
        <w:t>agrega el valor de todas las actividades económicas generadas, en lugar de considerar que los diferentes tipos de bases potenciales de la región pueden estar sujetos a distintos niveles de recaudación”</w:t>
      </w:r>
      <w:r w:rsidR="00727D5A" w:rsidRPr="008B5D7F">
        <w:rPr>
          <w:rFonts w:cstheme="minorHAnsi"/>
          <w:lang w:val="es-AR"/>
        </w:rPr>
        <w:t xml:space="preserve"> (Sour, 2008)</w:t>
      </w:r>
      <w:r w:rsidR="00FD1D83" w:rsidRPr="008B5D7F">
        <w:rPr>
          <w:rFonts w:cstheme="minorHAnsi"/>
          <w:lang w:val="es-AR"/>
        </w:rPr>
        <w:t>.</w:t>
      </w:r>
    </w:p>
    <w:p w14:paraId="07DF781C" w14:textId="2826053F" w:rsidR="001E2A9D" w:rsidRPr="008B5D7F" w:rsidRDefault="00B0457F" w:rsidP="008B5D7F">
      <w:pPr>
        <w:spacing w:line="240" w:lineRule="auto"/>
        <w:rPr>
          <w:rFonts w:cstheme="minorHAnsi"/>
          <w:lang w:val="es-AR"/>
        </w:rPr>
      </w:pPr>
      <w:r w:rsidRPr="008B5D7F">
        <w:rPr>
          <w:rFonts w:cstheme="minorHAnsi"/>
          <w:lang w:val="es-AR"/>
        </w:rPr>
        <w:t xml:space="preserve">Según Zapata (2012), </w:t>
      </w:r>
      <w:r w:rsidRPr="008B5D7F">
        <w:rPr>
          <w:rFonts w:cstheme="minorHAnsi"/>
          <w:i/>
          <w:lang w:val="es-AR"/>
        </w:rPr>
        <w:t>“el mejor indicador del ingreso es el PBI desagregado geográficamente”</w:t>
      </w:r>
      <w:r w:rsidRPr="008B5D7F">
        <w:rPr>
          <w:rFonts w:cstheme="minorHAnsi"/>
          <w:lang w:val="es-AR"/>
        </w:rPr>
        <w:t xml:space="preserve">. Este autor propone distintas aproximaciones para el cálculo de la capacidad fiscal cuándo no existen estadísticas de PBG por individuo analizado en el periodo bajo estudio. Según la riqueza </w:t>
      </w:r>
      <w:r w:rsidR="00592821" w:rsidRPr="008B5D7F">
        <w:rPr>
          <w:rFonts w:cstheme="minorHAnsi"/>
          <w:lang w:val="es-AR"/>
        </w:rPr>
        <w:t>propone</w:t>
      </w:r>
      <w:r w:rsidR="00066D1B" w:rsidRPr="008B5D7F">
        <w:rPr>
          <w:rFonts w:cstheme="minorHAnsi"/>
          <w:lang w:val="es-AR"/>
        </w:rPr>
        <w:t>, para el caso de los gobiernos autónomos descentralizados de Ecuador,</w:t>
      </w:r>
      <w:r w:rsidRPr="008B5D7F">
        <w:rPr>
          <w:rFonts w:cstheme="minorHAnsi"/>
          <w:lang w:val="es-AR"/>
        </w:rPr>
        <w:t xml:space="preserve"> </w:t>
      </w:r>
      <w:r w:rsidR="00592821" w:rsidRPr="008B5D7F">
        <w:rPr>
          <w:rFonts w:cstheme="minorHAnsi"/>
          <w:lang w:val="es-AR"/>
        </w:rPr>
        <w:t xml:space="preserve">impuestos a la propiedad inmueble y contribución especial de mejoras como posibles estimadores de la capacidad fiscal. Sin embargo menciona que </w:t>
      </w:r>
      <w:r w:rsidR="00592821" w:rsidRPr="008B5D7F">
        <w:rPr>
          <w:rFonts w:cstheme="minorHAnsi"/>
          <w:i/>
          <w:lang w:val="es-AR"/>
        </w:rPr>
        <w:t>“los valores catastrales deberían estar asociados a los valores de mercado pero esto frecuentemente no es así”</w:t>
      </w:r>
      <w:r w:rsidR="00592821" w:rsidRPr="008B5D7F">
        <w:rPr>
          <w:rFonts w:cstheme="minorHAnsi"/>
          <w:lang w:val="es-AR"/>
        </w:rPr>
        <w:t xml:space="preserve"> ya que </w:t>
      </w:r>
      <w:r w:rsidR="00592821" w:rsidRPr="008B5D7F">
        <w:rPr>
          <w:rFonts w:cstheme="minorHAnsi"/>
          <w:i/>
          <w:lang w:val="es-AR"/>
        </w:rPr>
        <w:t>“los avalúos suelen estar atrasados</w:t>
      </w:r>
      <w:r w:rsidR="00592821" w:rsidRPr="008B5D7F">
        <w:rPr>
          <w:rFonts w:cstheme="minorHAnsi"/>
          <w:lang w:val="es-AR"/>
        </w:rPr>
        <w:t>”.</w:t>
      </w:r>
      <w:r w:rsidR="000A2157">
        <w:rPr>
          <w:rFonts w:cstheme="minorHAnsi"/>
          <w:lang w:val="es-AR"/>
        </w:rPr>
        <w:t xml:space="preserve"> </w:t>
      </w:r>
      <w:r w:rsidR="001E2A9D" w:rsidRPr="008B5D7F">
        <w:rPr>
          <w:rFonts w:cstheme="minorHAnsi"/>
          <w:lang w:val="es-AR"/>
        </w:rPr>
        <w:t>Por el lado de la riqueza el autor propone la estimación de la capacidad fiscal a partir del</w:t>
      </w:r>
      <w:r w:rsidR="00066D1B" w:rsidRPr="008B5D7F">
        <w:rPr>
          <w:rFonts w:cstheme="minorHAnsi"/>
          <w:lang w:val="es-AR"/>
        </w:rPr>
        <w:t xml:space="preserve"> consumo de electricidad,</w:t>
      </w:r>
      <w:r w:rsidR="001E2A9D" w:rsidRPr="008B5D7F">
        <w:rPr>
          <w:rFonts w:cstheme="minorHAnsi"/>
          <w:lang w:val="es-AR"/>
        </w:rPr>
        <w:t xml:space="preserve"> nóminas salariales</w:t>
      </w:r>
      <w:r w:rsidR="00066D1B" w:rsidRPr="008B5D7F">
        <w:rPr>
          <w:rFonts w:cstheme="minorHAnsi"/>
          <w:lang w:val="es-AR"/>
        </w:rPr>
        <w:t>, ventas minoristas y la luminosidad.</w:t>
      </w:r>
    </w:p>
    <w:p w14:paraId="45E4B713" w14:textId="6C28772E" w:rsidR="00970FA9" w:rsidRPr="008B5D7F" w:rsidRDefault="004438E0" w:rsidP="008B5D7F">
      <w:pPr>
        <w:spacing w:line="240" w:lineRule="auto"/>
        <w:rPr>
          <w:rFonts w:cstheme="minorHAnsi"/>
          <w:lang w:val="es-AR"/>
        </w:rPr>
      </w:pPr>
      <w:r w:rsidRPr="008B5D7F">
        <w:rPr>
          <w:rFonts w:cstheme="minorHAnsi"/>
          <w:lang w:val="es-AR"/>
        </w:rPr>
        <w:t xml:space="preserve">Sour (2008) continúa con la descripción de los métodos propuestos por Martínez Vázquez y Boex (1997). </w:t>
      </w:r>
      <w:r w:rsidR="00DF5F7E" w:rsidRPr="008B5D7F">
        <w:rPr>
          <w:rFonts w:cstheme="minorHAnsi"/>
          <w:lang w:val="es-AR"/>
        </w:rPr>
        <w:t xml:space="preserve">El siguiente es </w:t>
      </w:r>
      <w:r w:rsidRPr="008B5D7F">
        <w:rPr>
          <w:rFonts w:cstheme="minorHAnsi"/>
          <w:lang w:val="es-AR"/>
        </w:rPr>
        <w:t xml:space="preserve">el </w:t>
      </w:r>
      <w:r w:rsidR="00DF5F7E" w:rsidRPr="008B5D7F">
        <w:rPr>
          <w:rFonts w:cstheme="minorHAnsi"/>
          <w:lang w:val="es-AR"/>
        </w:rPr>
        <w:t>“TRI” (</w:t>
      </w:r>
      <w:r w:rsidR="008E4DA6" w:rsidRPr="008B5D7F">
        <w:rPr>
          <w:rFonts w:cstheme="minorHAnsi"/>
          <w:lang w:val="es-AR"/>
        </w:rPr>
        <w:t>T</w:t>
      </w:r>
      <w:r w:rsidR="00DF5F7E" w:rsidRPr="008B5D7F">
        <w:rPr>
          <w:rFonts w:cstheme="minorHAnsi"/>
          <w:lang w:val="es-AR"/>
        </w:rPr>
        <w:t xml:space="preserve">otal de </w:t>
      </w:r>
      <w:r w:rsidR="008E4DA6" w:rsidRPr="008B5D7F">
        <w:rPr>
          <w:rFonts w:cstheme="minorHAnsi"/>
          <w:lang w:val="es-AR"/>
        </w:rPr>
        <w:t>R</w:t>
      </w:r>
      <w:r w:rsidR="00DF5F7E" w:rsidRPr="008B5D7F">
        <w:rPr>
          <w:rFonts w:cstheme="minorHAnsi"/>
          <w:lang w:val="es-AR"/>
        </w:rPr>
        <w:t xml:space="preserve">ecursos sujetos a </w:t>
      </w:r>
      <w:r w:rsidR="008E4DA6" w:rsidRPr="008B5D7F">
        <w:rPr>
          <w:rFonts w:cstheme="minorHAnsi"/>
          <w:lang w:val="es-AR"/>
        </w:rPr>
        <w:t>I</w:t>
      </w:r>
      <w:r w:rsidR="00DF5F7E" w:rsidRPr="008B5D7F">
        <w:rPr>
          <w:rFonts w:cstheme="minorHAnsi"/>
          <w:lang w:val="es-AR"/>
        </w:rPr>
        <w:t>mpuesto). Para realizar el cálculo se hacen ajustes al PBG, como por ejemplo la eliminación de todos los impuestos federales. Esta forma de cálculo presenta la desventaja de necesitar mucha información para su confección, que no necesariamente se encuentra disponible.</w:t>
      </w:r>
    </w:p>
    <w:p w14:paraId="2DD55218" w14:textId="1013EAEC" w:rsidR="00DF5F7E" w:rsidRPr="008B5D7F" w:rsidRDefault="00DF5F7E" w:rsidP="008B5D7F">
      <w:pPr>
        <w:spacing w:line="240" w:lineRule="auto"/>
        <w:rPr>
          <w:rFonts w:cstheme="minorHAnsi"/>
          <w:lang w:val="es-AR"/>
        </w:rPr>
      </w:pPr>
      <w:r w:rsidRPr="008B5D7F">
        <w:rPr>
          <w:rFonts w:cstheme="minorHAnsi"/>
          <w:lang w:val="es-AR"/>
        </w:rPr>
        <w:t xml:space="preserve">Los primeros cuatro métodos presentados </w:t>
      </w:r>
      <w:r w:rsidR="004438E0" w:rsidRPr="008B5D7F">
        <w:rPr>
          <w:rFonts w:cstheme="minorHAnsi"/>
          <w:lang w:val="es-AR"/>
        </w:rPr>
        <w:t xml:space="preserve">por estos autores </w:t>
      </w:r>
      <w:r w:rsidRPr="008B5D7F">
        <w:rPr>
          <w:rFonts w:cstheme="minorHAnsi"/>
          <w:lang w:val="es-AR"/>
        </w:rPr>
        <w:t xml:space="preserve">aplican medidas unidimensionales, siendo calculados </w:t>
      </w:r>
      <w:r w:rsidR="008E4DA6" w:rsidRPr="008B5D7F">
        <w:rPr>
          <w:rFonts w:cstheme="minorHAnsi"/>
          <w:lang w:val="es-AR"/>
        </w:rPr>
        <w:t>en base a</w:t>
      </w:r>
      <w:r w:rsidRPr="008B5D7F">
        <w:rPr>
          <w:rFonts w:cstheme="minorHAnsi"/>
          <w:lang w:val="es-AR"/>
        </w:rPr>
        <w:t xml:space="preserve"> un solo concepto</w:t>
      </w:r>
      <w:r w:rsidR="004438E0" w:rsidRPr="008B5D7F">
        <w:rPr>
          <w:rFonts w:cstheme="minorHAnsi"/>
          <w:lang w:val="es-AR"/>
        </w:rPr>
        <w:t xml:space="preserve">, mientras que la última forma presentada es </w:t>
      </w:r>
      <w:r w:rsidRPr="008B5D7F">
        <w:rPr>
          <w:rFonts w:cstheme="minorHAnsi"/>
          <w:lang w:val="es-AR"/>
        </w:rPr>
        <w:t>el “SIR” (Sistema</w:t>
      </w:r>
      <w:r w:rsidR="000A2157">
        <w:rPr>
          <w:rFonts w:cstheme="minorHAnsi"/>
          <w:lang w:val="es-AR"/>
        </w:rPr>
        <w:t xml:space="preserve"> Impositivo Representativo),</w:t>
      </w:r>
      <w:r w:rsidRPr="008B5D7F">
        <w:rPr>
          <w:rFonts w:cstheme="minorHAnsi"/>
          <w:lang w:val="es-AR"/>
        </w:rPr>
        <w:t xml:space="preserve"> </w:t>
      </w:r>
      <w:r w:rsidR="004438E0" w:rsidRPr="008B5D7F">
        <w:rPr>
          <w:rFonts w:cstheme="minorHAnsi"/>
          <w:lang w:val="es-AR"/>
        </w:rPr>
        <w:t>es un cálculo multidimensional.</w:t>
      </w:r>
    </w:p>
    <w:p w14:paraId="19FDD7E0" w14:textId="11E2DCD5" w:rsidR="00DF5F7E" w:rsidRPr="008B5D7F" w:rsidRDefault="004438E0" w:rsidP="008B5D7F">
      <w:pPr>
        <w:spacing w:line="240" w:lineRule="auto"/>
        <w:rPr>
          <w:rFonts w:cstheme="minorHAnsi"/>
          <w:lang w:val="es-AR"/>
        </w:rPr>
      </w:pPr>
      <w:r w:rsidRPr="008B5D7F">
        <w:rPr>
          <w:rFonts w:cstheme="minorHAnsi"/>
          <w:lang w:val="es-AR"/>
        </w:rPr>
        <w:t xml:space="preserve">Según esta autora, </w:t>
      </w:r>
      <w:r w:rsidR="00DF5F7E" w:rsidRPr="008B5D7F">
        <w:rPr>
          <w:rFonts w:cstheme="minorHAnsi"/>
          <w:i/>
          <w:lang w:val="es-AR"/>
        </w:rPr>
        <w:t>“</w:t>
      </w:r>
      <w:r w:rsidRPr="008B5D7F">
        <w:rPr>
          <w:rFonts w:cstheme="minorHAnsi"/>
          <w:i/>
          <w:lang w:val="es-AR"/>
        </w:rPr>
        <w:t>l</w:t>
      </w:r>
      <w:r w:rsidR="00DF5F7E" w:rsidRPr="008B5D7F">
        <w:rPr>
          <w:rFonts w:cstheme="minorHAnsi"/>
          <w:i/>
          <w:lang w:val="es-AR"/>
        </w:rPr>
        <w:t xml:space="preserve">a ventaja principal de este método es que se calcula de forma desagregada y para cada componente de la base tributaria regional”. </w:t>
      </w:r>
      <w:r w:rsidR="00DF5F7E" w:rsidRPr="008B5D7F">
        <w:rPr>
          <w:rFonts w:cstheme="minorHAnsi"/>
          <w:lang w:val="es-AR"/>
        </w:rPr>
        <w:t>Sin embargo, par</w:t>
      </w:r>
      <w:r w:rsidR="00A85B28" w:rsidRPr="008B5D7F">
        <w:rPr>
          <w:rFonts w:cstheme="minorHAnsi"/>
          <w:lang w:val="es-AR"/>
        </w:rPr>
        <w:t xml:space="preserve">a que el cálculo sea adecuado </w:t>
      </w:r>
      <w:r w:rsidR="00DF5F7E" w:rsidRPr="008B5D7F">
        <w:rPr>
          <w:rFonts w:cstheme="minorHAnsi"/>
          <w:lang w:val="es-AR"/>
        </w:rPr>
        <w:t>es necesario que la información disponible sea consistente en todas las regiones, limitando de esta forma las posibilidades de aplicación del mismo.</w:t>
      </w:r>
    </w:p>
    <w:p w14:paraId="37901975" w14:textId="7E114CEA" w:rsidR="000318FB" w:rsidRPr="008B5D7F" w:rsidRDefault="00EF7AAD" w:rsidP="008B5D7F">
      <w:pPr>
        <w:spacing w:line="240" w:lineRule="auto"/>
        <w:rPr>
          <w:rFonts w:cstheme="minorHAnsi"/>
          <w:lang w:val="es-AR"/>
        </w:rPr>
      </w:pPr>
      <w:r w:rsidRPr="008B5D7F">
        <w:rPr>
          <w:rFonts w:cstheme="minorHAnsi"/>
          <w:lang w:val="es-AR"/>
        </w:rPr>
        <w:t xml:space="preserve">Según López Casasnovas </w:t>
      </w:r>
      <w:r w:rsidR="00410B42" w:rsidRPr="008B5D7F">
        <w:rPr>
          <w:rFonts w:cstheme="minorHAnsi"/>
          <w:lang w:val="es-AR"/>
        </w:rPr>
        <w:t>et al.</w:t>
      </w:r>
      <w:r w:rsidR="00BA6A5A" w:rsidRPr="008B5D7F">
        <w:rPr>
          <w:rFonts w:cstheme="minorHAnsi"/>
          <w:lang w:val="es-AR"/>
        </w:rPr>
        <w:t xml:space="preserve"> (2002)</w:t>
      </w:r>
      <w:r w:rsidR="009278F1" w:rsidRPr="008B5D7F">
        <w:rPr>
          <w:rFonts w:cstheme="minorHAnsi"/>
          <w:lang w:val="es-AR"/>
        </w:rPr>
        <w:t xml:space="preserve"> </w:t>
      </w:r>
      <w:r w:rsidR="009278F1" w:rsidRPr="008B5D7F">
        <w:rPr>
          <w:rFonts w:cstheme="minorHAnsi"/>
          <w:i/>
          <w:lang w:val="es-AR"/>
        </w:rPr>
        <w:t>“i</w:t>
      </w:r>
      <w:r w:rsidRPr="008B5D7F">
        <w:rPr>
          <w:rFonts w:cstheme="minorHAnsi"/>
          <w:i/>
          <w:lang w:val="es-AR"/>
        </w:rPr>
        <w:t>ntuitivamente, parece claro el significado de capacidad fiscal: es el potencial recaudatorio de cualquier área administrativa</w:t>
      </w:r>
      <w:r w:rsidRPr="008B5D7F">
        <w:rPr>
          <w:rFonts w:cstheme="minorHAnsi"/>
          <w:lang w:val="es-AR"/>
        </w:rPr>
        <w:t>”, y con un enfoque más práctico es la “</w:t>
      </w:r>
      <w:r w:rsidRPr="008B5D7F">
        <w:rPr>
          <w:rFonts w:cstheme="minorHAnsi"/>
          <w:i/>
          <w:lang w:val="es-AR"/>
        </w:rPr>
        <w:t>posibilidad que tiene la administración pública de traducir la actividad económica que se desarrolla dentro de sus fronteras en gasto público</w:t>
      </w:r>
      <w:r w:rsidRPr="008B5D7F">
        <w:rPr>
          <w:rFonts w:cstheme="minorHAnsi"/>
          <w:lang w:val="es-AR"/>
        </w:rPr>
        <w:t>” (Chernick, 1998</w:t>
      </w:r>
      <w:r w:rsidR="00410B42" w:rsidRPr="008B5D7F">
        <w:rPr>
          <w:rFonts w:cstheme="minorHAnsi"/>
          <w:lang w:val="es-AR"/>
        </w:rPr>
        <w:t>, visto</w:t>
      </w:r>
      <w:r w:rsidR="009278F1" w:rsidRPr="008B5D7F">
        <w:rPr>
          <w:rFonts w:cstheme="minorHAnsi"/>
          <w:lang w:val="es-AR"/>
        </w:rPr>
        <w:t xml:space="preserve"> en López Casasnovas </w:t>
      </w:r>
      <w:r w:rsidR="00410B42" w:rsidRPr="008B5D7F">
        <w:rPr>
          <w:rFonts w:cstheme="minorHAnsi"/>
          <w:lang w:val="es-AR"/>
        </w:rPr>
        <w:t>et al</w:t>
      </w:r>
      <w:r w:rsidR="009278F1" w:rsidRPr="008B5D7F">
        <w:rPr>
          <w:rFonts w:cstheme="minorHAnsi"/>
          <w:lang w:val="es-AR"/>
        </w:rPr>
        <w:t>, 2002</w:t>
      </w:r>
      <w:r w:rsidRPr="008B5D7F">
        <w:rPr>
          <w:rFonts w:cstheme="minorHAnsi"/>
          <w:lang w:val="es-AR"/>
        </w:rPr>
        <w:t>)</w:t>
      </w:r>
      <w:r w:rsidR="009278F1" w:rsidRPr="008B5D7F">
        <w:rPr>
          <w:rFonts w:cstheme="minorHAnsi"/>
          <w:lang w:val="es-AR"/>
        </w:rPr>
        <w:t>.</w:t>
      </w:r>
    </w:p>
    <w:p w14:paraId="19DF0582" w14:textId="1F5E3BF5" w:rsidR="007E2F3B" w:rsidRPr="008B5D7F" w:rsidRDefault="00A85B28" w:rsidP="008B5D7F">
      <w:pPr>
        <w:spacing w:line="240" w:lineRule="auto"/>
        <w:rPr>
          <w:rFonts w:cstheme="minorHAnsi"/>
          <w:lang w:val="es-AR"/>
        </w:rPr>
      </w:pPr>
      <w:r w:rsidRPr="008B5D7F">
        <w:rPr>
          <w:rFonts w:cstheme="minorHAnsi"/>
          <w:lang w:val="es-AR"/>
        </w:rPr>
        <w:t>De acuerdo a</w:t>
      </w:r>
      <w:r w:rsidR="00EF7AAD" w:rsidRPr="008B5D7F">
        <w:rPr>
          <w:rFonts w:cstheme="minorHAnsi"/>
          <w:lang w:val="es-AR"/>
        </w:rPr>
        <w:t xml:space="preserve"> </w:t>
      </w:r>
      <w:r w:rsidR="00F3466F" w:rsidRPr="008B5D7F">
        <w:rPr>
          <w:rFonts w:cstheme="minorHAnsi"/>
          <w:lang w:val="es-AR"/>
        </w:rPr>
        <w:t>estos autores,</w:t>
      </w:r>
    </w:p>
    <w:p w14:paraId="0FE5B455" w14:textId="68AE3C9F" w:rsidR="00EF7AAD" w:rsidRPr="008B5D7F" w:rsidRDefault="00EF7AAD" w:rsidP="008B5D7F">
      <w:pPr>
        <w:spacing w:line="240" w:lineRule="auto"/>
        <w:ind w:left="709" w:right="709" w:firstLine="0"/>
        <w:rPr>
          <w:rFonts w:cstheme="minorHAnsi"/>
          <w:lang w:val="es-AR"/>
        </w:rPr>
      </w:pPr>
      <w:r w:rsidRPr="008B5D7F">
        <w:rPr>
          <w:rFonts w:cstheme="minorHAnsi"/>
          <w:lang w:val="es-AR"/>
        </w:rPr>
        <w:t>La capacidad recaudatoria de un territorio se puede identificar como el conjunto de bases imponibles susceptibles de ser gravadas por Hacien</w:t>
      </w:r>
      <w:r w:rsidR="00A85B28" w:rsidRPr="008B5D7F">
        <w:rPr>
          <w:rFonts w:cstheme="minorHAnsi"/>
          <w:lang w:val="es-AR"/>
        </w:rPr>
        <w:t xml:space="preserve">da. El cálculo </w:t>
      </w:r>
      <w:r w:rsidR="00B82BA0" w:rsidRPr="008B5D7F">
        <w:rPr>
          <w:rFonts w:cstheme="minorHAnsi"/>
          <w:lang w:val="es-AR"/>
        </w:rPr>
        <w:t xml:space="preserve">de </w:t>
      </w:r>
      <w:r w:rsidR="00A85B28" w:rsidRPr="008B5D7F">
        <w:rPr>
          <w:rFonts w:cstheme="minorHAnsi"/>
          <w:lang w:val="es-AR"/>
        </w:rPr>
        <w:t xml:space="preserve">estas bases, </w:t>
      </w:r>
      <w:r w:rsidRPr="008B5D7F">
        <w:rPr>
          <w:rFonts w:cstheme="minorHAnsi"/>
          <w:lang w:val="es-AR"/>
        </w:rPr>
        <w:t>entraña dos serios problemas: por un lado el de la estimación; y por el otro el de la identificación.</w:t>
      </w:r>
    </w:p>
    <w:p w14:paraId="3C10F733" w14:textId="5BAE7C62" w:rsidR="00A85B28" w:rsidRPr="008B5D7F" w:rsidRDefault="00A85B28" w:rsidP="008B5D7F">
      <w:pPr>
        <w:spacing w:line="240" w:lineRule="auto"/>
        <w:rPr>
          <w:rFonts w:cstheme="minorHAnsi"/>
          <w:lang w:val="es-AR"/>
        </w:rPr>
      </w:pPr>
      <w:r w:rsidRPr="008B5D7F">
        <w:rPr>
          <w:rFonts w:cstheme="minorHAnsi"/>
          <w:lang w:val="es-AR"/>
        </w:rPr>
        <w:t xml:space="preserve">Sobre el problema de estimación, exponen que existen dos metodologías </w:t>
      </w:r>
      <w:r w:rsidR="00B82BA0" w:rsidRPr="008B5D7F">
        <w:rPr>
          <w:rFonts w:cstheme="minorHAnsi"/>
          <w:lang w:val="es-AR"/>
        </w:rPr>
        <w:t>para</w:t>
      </w:r>
      <w:r w:rsidRPr="008B5D7F">
        <w:rPr>
          <w:rFonts w:cstheme="minorHAnsi"/>
          <w:lang w:val="es-AR"/>
        </w:rPr>
        <w:t xml:space="preserve"> calcular las bases: estimación directa y estimación indirecta. La estimación directa identifica las capacidades fiscales con las bases imponibles definidas por Hacienda para el territorio en cuestión. Esta metodología presenta un problema principal conceptual, ya que se identifica, de alguna forma, la recaudación efectiva del territorio con su capacidad fiscal. La estimación indirecta también identifica las bases fiscales con la capacidad fiscal, pero utiliza distintos criterios de regionalización (distribución por territorios). El principal problema, en este caso, es metodológico, ya que resulta </w:t>
      </w:r>
      <w:r w:rsidRPr="008B5D7F">
        <w:rPr>
          <w:rFonts w:cstheme="minorHAnsi"/>
          <w:lang w:val="es-AR"/>
        </w:rPr>
        <w:lastRenderedPageBreak/>
        <w:t>costoso encontrar variables que actúen como proxies de la capacidad fiscal y permitan territorializar correctamente las bases fiscales teniendo en cuenta la naturaleza del hecho imponible.</w:t>
      </w:r>
    </w:p>
    <w:p w14:paraId="2BF87892" w14:textId="738FCEEA" w:rsidR="00A85B28" w:rsidRPr="008B5D7F" w:rsidRDefault="00A85B28" w:rsidP="008B5D7F">
      <w:pPr>
        <w:spacing w:line="240" w:lineRule="auto"/>
        <w:rPr>
          <w:rFonts w:cstheme="minorHAnsi"/>
          <w:lang w:val="es-AR"/>
        </w:rPr>
      </w:pPr>
      <w:r w:rsidRPr="008B5D7F">
        <w:rPr>
          <w:rFonts w:cstheme="minorHAnsi"/>
          <w:lang w:val="es-AR"/>
        </w:rPr>
        <w:t>En cuanto al problema de identificación, los autores mencionan que</w:t>
      </w:r>
      <w:r w:rsidR="00B443AA" w:rsidRPr="008B5D7F">
        <w:rPr>
          <w:rFonts w:cstheme="minorHAnsi"/>
          <w:lang w:val="es-AR"/>
        </w:rPr>
        <w:t>,</w:t>
      </w:r>
      <w:r w:rsidRPr="008B5D7F">
        <w:rPr>
          <w:rFonts w:cstheme="minorHAnsi"/>
          <w:lang w:val="es-AR"/>
        </w:rPr>
        <w:t xml:space="preserve"> dado que la capacidad fiscal de cada territorio presenta una naturaleza dinámica, el concepto de CF no es estático, y por ende puede existir gran variabilidad, siendo la complejidad de los factores que la determinan los </w:t>
      </w:r>
      <w:r w:rsidR="00383C2F" w:rsidRPr="008B5D7F">
        <w:rPr>
          <w:rFonts w:cstheme="minorHAnsi"/>
          <w:lang w:val="es-AR"/>
        </w:rPr>
        <w:t>que la ocasionan</w:t>
      </w:r>
      <w:r w:rsidRPr="008B5D7F">
        <w:rPr>
          <w:rFonts w:cstheme="minorHAnsi"/>
          <w:lang w:val="es-AR"/>
        </w:rPr>
        <w:t>.</w:t>
      </w:r>
    </w:p>
    <w:p w14:paraId="5F148292" w14:textId="77777777" w:rsidR="00A90197" w:rsidRPr="008B5D7F" w:rsidRDefault="00A90197" w:rsidP="008B5D7F">
      <w:pPr>
        <w:spacing w:line="240" w:lineRule="auto"/>
        <w:rPr>
          <w:rFonts w:cstheme="minorHAnsi"/>
          <w:lang w:val="es-AR"/>
        </w:rPr>
      </w:pPr>
      <w:r w:rsidRPr="008B5D7F">
        <w:rPr>
          <w:rFonts w:cstheme="minorHAnsi"/>
          <w:lang w:val="es-AR"/>
        </w:rPr>
        <w:t xml:space="preserve">A pesar de que las definiciones teóricas esbozadas por diversos autores son similares, cuando se busca definir los conceptos de forma empírica o práctica se presentan grandes diferencias debido principalmente a la falta de disponibilidad de datos e información que permita un cálculo sin cuestionamientos. Según Sour (2008) </w:t>
      </w:r>
      <w:r w:rsidRPr="008B5D7F">
        <w:rPr>
          <w:rFonts w:cstheme="minorHAnsi"/>
          <w:i/>
          <w:lang w:val="es-AR"/>
        </w:rPr>
        <w:t>“el estudio de las capacidades fiscales es un problema empírico, y que el investigador debe someter los métodos propuestos para estudiar la capacidad fiscal a la disponibilidad de datos”.</w:t>
      </w:r>
    </w:p>
    <w:p w14:paraId="30E212B3" w14:textId="1FDFF247" w:rsidR="00A90197" w:rsidRPr="008B5D7F" w:rsidRDefault="00A90197" w:rsidP="008B5D7F">
      <w:pPr>
        <w:spacing w:line="240" w:lineRule="auto"/>
        <w:rPr>
          <w:rFonts w:cstheme="minorHAnsi"/>
          <w:lang w:val="es-AR"/>
        </w:rPr>
      </w:pPr>
      <w:r w:rsidRPr="008B5D7F">
        <w:rPr>
          <w:rFonts w:cstheme="minorHAnsi"/>
          <w:lang w:val="es-AR"/>
        </w:rPr>
        <w:t xml:space="preserve">En definitiva, las definiciones teóricas se terminan adaptando a la disponibilidad de datos y al objeto del cálculo de los índices. Al respecto Zabalza </w:t>
      </w:r>
      <w:r w:rsidR="00481D74" w:rsidRPr="008B5D7F">
        <w:rPr>
          <w:rFonts w:cstheme="minorHAnsi"/>
          <w:lang w:val="es-AR"/>
        </w:rPr>
        <w:t>et al.</w:t>
      </w:r>
      <w:r w:rsidRPr="008B5D7F">
        <w:rPr>
          <w:rFonts w:cstheme="minorHAnsi"/>
          <w:lang w:val="es-AR"/>
        </w:rPr>
        <w:t xml:space="preserve"> (1999) enuncian que:</w:t>
      </w:r>
    </w:p>
    <w:p w14:paraId="6BF439F0" w14:textId="7B3F3BDF" w:rsidR="00A90197" w:rsidRPr="008B5D7F" w:rsidRDefault="00A90197" w:rsidP="008B5D7F">
      <w:pPr>
        <w:spacing w:line="240" w:lineRule="auto"/>
        <w:ind w:left="709" w:right="709" w:firstLine="0"/>
        <w:rPr>
          <w:rFonts w:cstheme="minorHAnsi"/>
          <w:lang w:val="es-AR"/>
        </w:rPr>
      </w:pPr>
      <w:r w:rsidRPr="008B5D7F">
        <w:rPr>
          <w:rFonts w:cstheme="minorHAnsi"/>
          <w:lang w:val="es-AR"/>
        </w:rPr>
        <w:t>Si el propósito es evaluar el fraude fiscal existente en el ámbito de una determinada Comunidad y de un determinado impuesto, la recaudación teórica debe ser la que resultaría de aplicar la legislación fiscal vigente en esa Comunidad a las rentas reales de los sujetos a tributación en la misma. En tal caso, el valor absoluto de la recaudación teórica en dicha Comunidad, un concepto de imposible medición dada la información estadística disponible, es lo que realmente interesaría. Sin embargo, para otros propósitos, puede ser suficiente con identificar el valor relativo de la recaudación teórica con r</w:t>
      </w:r>
      <w:r w:rsidR="00481D74" w:rsidRPr="008B5D7F">
        <w:rPr>
          <w:rFonts w:cstheme="minorHAnsi"/>
          <w:lang w:val="es-AR"/>
        </w:rPr>
        <w:t>especto al de otras Comunidades</w:t>
      </w:r>
      <w:r w:rsidRPr="008B5D7F">
        <w:rPr>
          <w:rFonts w:cstheme="minorHAnsi"/>
          <w:lang w:val="es-AR"/>
        </w:rPr>
        <w:t>.</w:t>
      </w:r>
    </w:p>
    <w:p w14:paraId="2DA75C64" w14:textId="537ECA64" w:rsidR="00EF7AAD" w:rsidRPr="008B5D7F" w:rsidRDefault="00C5087C" w:rsidP="008B5D7F">
      <w:pPr>
        <w:spacing w:line="240" w:lineRule="auto"/>
        <w:rPr>
          <w:rFonts w:cstheme="minorHAnsi"/>
          <w:lang w:val="es-AR"/>
        </w:rPr>
      </w:pPr>
      <w:r w:rsidRPr="008B5D7F">
        <w:rPr>
          <w:rFonts w:cstheme="minorHAnsi"/>
          <w:lang w:val="es-AR"/>
        </w:rPr>
        <w:t>Al analizar los cálculos previos de EF y CF, se puede observar en la bibliografía gran variedad de elecciones de acuerdo a las características particulares de las economías analizadas, y también de acuerdo a la disponibilidad de datos. Sin embargo, antes de mencionar algunos de estos casos, resulta de interés mencionar el panorama general que implica hacer un cálculo de este estilo. A estos efectos</w:t>
      </w:r>
      <w:r w:rsidR="001220C3" w:rsidRPr="008B5D7F">
        <w:rPr>
          <w:rFonts w:cstheme="minorHAnsi"/>
          <w:lang w:val="es-AR"/>
        </w:rPr>
        <w:t>,</w:t>
      </w:r>
      <w:r w:rsidRPr="008B5D7F">
        <w:rPr>
          <w:rFonts w:cstheme="minorHAnsi"/>
          <w:lang w:val="es-AR"/>
        </w:rPr>
        <w:t xml:space="preserve"> se cita a continuación a </w:t>
      </w:r>
      <w:r w:rsidR="00EF7AAD" w:rsidRPr="008B5D7F">
        <w:rPr>
          <w:rFonts w:cstheme="minorHAnsi"/>
          <w:lang w:val="es-AR"/>
        </w:rPr>
        <w:t xml:space="preserve">López Casasnovas </w:t>
      </w:r>
      <w:r w:rsidR="00481D74" w:rsidRPr="008B5D7F">
        <w:rPr>
          <w:rFonts w:cstheme="minorHAnsi"/>
          <w:lang w:val="es-AR"/>
        </w:rPr>
        <w:t>et al.</w:t>
      </w:r>
      <w:r w:rsidR="00EF7AAD" w:rsidRPr="008B5D7F">
        <w:rPr>
          <w:rFonts w:cstheme="minorHAnsi"/>
          <w:lang w:val="es-AR"/>
        </w:rPr>
        <w:t xml:space="preserve"> (2002) </w:t>
      </w:r>
      <w:r w:rsidRPr="008B5D7F">
        <w:rPr>
          <w:rFonts w:cstheme="minorHAnsi"/>
          <w:lang w:val="es-AR"/>
        </w:rPr>
        <w:t>que</w:t>
      </w:r>
      <w:r w:rsidR="00EF7AAD" w:rsidRPr="008B5D7F">
        <w:rPr>
          <w:rFonts w:cstheme="minorHAnsi"/>
          <w:lang w:val="es-AR"/>
        </w:rPr>
        <w:t xml:space="preserve"> analizan el caso de las Comunidades Autónomas Españolas y consideran que:</w:t>
      </w:r>
    </w:p>
    <w:p w14:paraId="08902912" w14:textId="77777777" w:rsidR="00EF7AAD" w:rsidRPr="008B5D7F" w:rsidRDefault="00EF7AAD" w:rsidP="008B5D7F">
      <w:pPr>
        <w:spacing w:line="240" w:lineRule="auto"/>
        <w:ind w:left="709" w:right="709" w:firstLine="0"/>
        <w:rPr>
          <w:rFonts w:cstheme="minorHAnsi"/>
          <w:lang w:val="es-AR"/>
        </w:rPr>
      </w:pPr>
      <w:r w:rsidRPr="008B5D7F">
        <w:rPr>
          <w:rFonts w:cstheme="minorHAnsi"/>
          <w:lang w:val="es-AR"/>
        </w:rPr>
        <w:t>Pese a que su definición en la práctica [esfuerzo y capacidad fiscal] de la Hacienda Pública no sea siempre totalmente satisfactoria, resulta complejo encontrar métodos de cálculo mejores con cierta fiabilidad.</w:t>
      </w:r>
    </w:p>
    <w:p w14:paraId="1D84489F" w14:textId="544230E8" w:rsidR="00EF7AAD" w:rsidRPr="008B5D7F" w:rsidRDefault="00EF7AAD" w:rsidP="008B5D7F">
      <w:pPr>
        <w:spacing w:line="240" w:lineRule="auto"/>
        <w:ind w:left="709" w:right="709" w:firstLine="0"/>
        <w:rPr>
          <w:rFonts w:cstheme="minorHAnsi"/>
          <w:lang w:val="es-AR"/>
        </w:rPr>
      </w:pPr>
      <w:r w:rsidRPr="008B5D7F">
        <w:rPr>
          <w:rFonts w:cstheme="minorHAnsi"/>
          <w:lang w:val="es-AR"/>
        </w:rPr>
        <w:t>Sin embargo, esto no debe entenderse como una renuncia a continuar la búsqueda de soluciones superiores para la definición práctica de dichos conceptos que, como hemos podido constatar, resultan fundamentales para garantizar una idea de equidad mucho más coherente y completa entre todos los territorios</w:t>
      </w:r>
      <w:r w:rsidR="00B94146" w:rsidRPr="008B5D7F">
        <w:rPr>
          <w:rFonts w:cstheme="minorHAnsi"/>
          <w:lang w:val="es-AR"/>
        </w:rPr>
        <w:t>.</w:t>
      </w:r>
    </w:p>
    <w:p w14:paraId="43932A65" w14:textId="2D69C6F9" w:rsidR="00C5087C" w:rsidRPr="008B5D7F" w:rsidRDefault="009255D3" w:rsidP="008B5D7F">
      <w:pPr>
        <w:spacing w:line="240" w:lineRule="auto"/>
        <w:rPr>
          <w:rFonts w:cstheme="minorHAnsi"/>
          <w:lang w:val="es-AR"/>
        </w:rPr>
      </w:pPr>
      <w:r w:rsidRPr="008B5D7F">
        <w:rPr>
          <w:rFonts w:cstheme="minorHAnsi"/>
          <w:lang w:val="es-AR"/>
        </w:rPr>
        <w:t>En el trabajo de Sour (</w:t>
      </w:r>
      <w:r w:rsidR="000D304B" w:rsidRPr="008B5D7F">
        <w:rPr>
          <w:rFonts w:cstheme="minorHAnsi"/>
          <w:lang w:val="es-AR"/>
        </w:rPr>
        <w:t>2008</w:t>
      </w:r>
      <w:r w:rsidRPr="008B5D7F">
        <w:rPr>
          <w:rFonts w:cstheme="minorHAnsi"/>
          <w:lang w:val="es-AR"/>
        </w:rPr>
        <w:t>), se expresan consideraciones que se tuvieron en distintos cálculos. Entre las estimaciones internacionales citadas en su trabajo, se puede mencionar el de Bahl (1971)</w:t>
      </w:r>
      <w:r w:rsidR="0007665F" w:rsidRPr="008B5D7F">
        <w:rPr>
          <w:rFonts w:cstheme="minorHAnsi"/>
          <w:lang w:val="es-AR"/>
        </w:rPr>
        <w:t>,</w:t>
      </w:r>
      <w:r w:rsidRPr="008B5D7F">
        <w:rPr>
          <w:rFonts w:cstheme="minorHAnsi"/>
          <w:lang w:val="es-AR"/>
        </w:rPr>
        <w:t xml:space="preserve"> que analiza la labor fiscal de 50 países en desarrollo</w:t>
      </w:r>
      <w:r w:rsidR="00106137" w:rsidRPr="008B5D7F">
        <w:rPr>
          <w:rFonts w:cstheme="minorHAnsi"/>
          <w:lang w:val="es-AR"/>
        </w:rPr>
        <w:t>:</w:t>
      </w:r>
      <w:r w:rsidRPr="008B5D7F">
        <w:rPr>
          <w:rFonts w:cstheme="minorHAnsi"/>
          <w:lang w:val="es-AR"/>
        </w:rPr>
        <w:t xml:space="preserve"> </w:t>
      </w:r>
      <w:r w:rsidRPr="008B5D7F">
        <w:rPr>
          <w:rFonts w:cstheme="minorHAnsi"/>
          <w:i/>
          <w:lang w:val="es-AR"/>
        </w:rPr>
        <w:t>“</w:t>
      </w:r>
      <w:r w:rsidR="00106137" w:rsidRPr="008B5D7F">
        <w:rPr>
          <w:rFonts w:cstheme="minorHAnsi"/>
          <w:i/>
          <w:lang w:val="es-AR"/>
        </w:rPr>
        <w:t>e</w:t>
      </w:r>
      <w:r w:rsidRPr="008B5D7F">
        <w:rPr>
          <w:rFonts w:cstheme="minorHAnsi"/>
          <w:i/>
          <w:lang w:val="es-AR"/>
        </w:rPr>
        <w:t>ste investigador considera que la capacidad fiscal está relacionado con el grado de desarrollo, la composición sectorial de la economía y el tamaño del sector externo”</w:t>
      </w:r>
      <w:r w:rsidRPr="008B5D7F">
        <w:rPr>
          <w:rFonts w:cstheme="minorHAnsi"/>
          <w:lang w:val="es-AR"/>
        </w:rPr>
        <w:t>.</w:t>
      </w:r>
    </w:p>
    <w:p w14:paraId="5CD0E2D1" w14:textId="3395F479" w:rsidR="00BE64CF" w:rsidRPr="008B5D7F" w:rsidRDefault="009255D3" w:rsidP="008B5D7F">
      <w:pPr>
        <w:spacing w:line="240" w:lineRule="auto"/>
        <w:rPr>
          <w:rFonts w:cstheme="minorHAnsi"/>
          <w:lang w:val="es-AR"/>
        </w:rPr>
      </w:pPr>
      <w:r w:rsidRPr="008B5D7F">
        <w:rPr>
          <w:rFonts w:cstheme="minorHAnsi"/>
          <w:lang w:val="es-AR"/>
        </w:rPr>
        <w:t>Respecto al caso de México, Sour menciona el trabajo de Ibarra y Alanis (2001)</w:t>
      </w:r>
      <w:r w:rsidR="0007665F" w:rsidRPr="008B5D7F">
        <w:rPr>
          <w:rFonts w:cstheme="minorHAnsi"/>
          <w:lang w:val="es-AR"/>
        </w:rPr>
        <w:t>,</w:t>
      </w:r>
      <w:r w:rsidRPr="008B5D7F">
        <w:rPr>
          <w:rFonts w:cstheme="minorHAnsi"/>
          <w:lang w:val="es-AR"/>
        </w:rPr>
        <w:t xml:space="preserve"> quienes </w:t>
      </w:r>
      <w:r w:rsidRPr="008B5D7F">
        <w:rPr>
          <w:rFonts w:cstheme="minorHAnsi"/>
          <w:i/>
          <w:lang w:val="es-AR"/>
        </w:rPr>
        <w:t>“utilizaron un enfoque de panel para determinar si durante el período 1975 a 1995 los estados se volvieron más o menos dependientes de la federación”</w:t>
      </w:r>
      <w:r w:rsidR="00F30112" w:rsidRPr="008B5D7F">
        <w:rPr>
          <w:rFonts w:cstheme="minorHAnsi"/>
          <w:lang w:val="es-AR"/>
        </w:rPr>
        <w:t>.</w:t>
      </w:r>
    </w:p>
    <w:p w14:paraId="23B1955E" w14:textId="77777777" w:rsidR="00481D74" w:rsidRPr="008B5D7F" w:rsidRDefault="001958BF" w:rsidP="008B5D7F">
      <w:pPr>
        <w:spacing w:line="240" w:lineRule="auto"/>
        <w:rPr>
          <w:rFonts w:cstheme="minorHAnsi"/>
          <w:lang w:val="es-AR"/>
        </w:rPr>
      </w:pPr>
      <w:r w:rsidRPr="008B5D7F">
        <w:rPr>
          <w:rFonts w:cstheme="minorHAnsi"/>
          <w:lang w:val="es-AR"/>
        </w:rPr>
        <w:lastRenderedPageBreak/>
        <w:t>Por su parte</w:t>
      </w:r>
      <w:r w:rsidR="00BE64CF" w:rsidRPr="008B5D7F">
        <w:rPr>
          <w:rFonts w:cstheme="minorHAnsi"/>
          <w:lang w:val="es-AR"/>
        </w:rPr>
        <w:t xml:space="preserve"> </w:t>
      </w:r>
      <w:r w:rsidR="000D304B" w:rsidRPr="008B5D7F">
        <w:rPr>
          <w:rFonts w:cstheme="minorHAnsi"/>
          <w:lang w:val="es-AR"/>
        </w:rPr>
        <w:t>Sour (2008</w:t>
      </w:r>
      <w:r w:rsidR="00481D74" w:rsidRPr="008B5D7F">
        <w:rPr>
          <w:rFonts w:cstheme="minorHAnsi"/>
          <w:lang w:val="es-AR"/>
        </w:rPr>
        <w:t>)</w:t>
      </w:r>
      <w:r w:rsidRPr="008B5D7F">
        <w:rPr>
          <w:rFonts w:cstheme="minorHAnsi"/>
          <w:lang w:val="es-AR"/>
        </w:rPr>
        <w:t xml:space="preserve"> busca analizar</w:t>
      </w:r>
      <w:r w:rsidR="00BE64CF" w:rsidRPr="008B5D7F">
        <w:rPr>
          <w:rFonts w:cstheme="minorHAnsi"/>
          <w:lang w:val="es-AR"/>
        </w:rPr>
        <w:t xml:space="preserve"> si las transferencias, ya sean condicionadas o no, han influido en el esfuerzo de los gobiernos locales en México. Para ello utiliza el análisis de </w:t>
      </w:r>
      <w:r w:rsidRPr="008B5D7F">
        <w:rPr>
          <w:rFonts w:cstheme="minorHAnsi"/>
          <w:lang w:val="es-AR"/>
        </w:rPr>
        <w:t xml:space="preserve">datos </w:t>
      </w:r>
      <w:r w:rsidR="00BE64CF" w:rsidRPr="008B5D7F">
        <w:rPr>
          <w:rFonts w:cstheme="minorHAnsi"/>
          <w:lang w:val="es-AR"/>
        </w:rPr>
        <w:t>panel</w:t>
      </w:r>
      <w:r w:rsidR="00C6538D" w:rsidRPr="008B5D7F">
        <w:rPr>
          <w:rFonts w:cstheme="minorHAnsi"/>
          <w:lang w:val="es-AR"/>
        </w:rPr>
        <w:t xml:space="preserve"> que, según sus palabras, presenta, entre otras ventajas, la de</w:t>
      </w:r>
      <w:r w:rsidR="00BE64CF" w:rsidRPr="008B5D7F">
        <w:rPr>
          <w:rFonts w:cstheme="minorHAnsi"/>
          <w:lang w:val="es-AR"/>
        </w:rPr>
        <w:t xml:space="preserve"> </w:t>
      </w:r>
      <w:r w:rsidR="00C6538D" w:rsidRPr="008B5D7F">
        <w:rPr>
          <w:rFonts w:cstheme="minorHAnsi"/>
          <w:i/>
          <w:lang w:val="es-AR"/>
        </w:rPr>
        <w:t>“</w:t>
      </w:r>
      <w:r w:rsidR="00BE64CF" w:rsidRPr="008B5D7F">
        <w:rPr>
          <w:rFonts w:cstheme="minorHAnsi"/>
          <w:i/>
          <w:lang w:val="es-AR"/>
        </w:rPr>
        <w:t>relajamiento de los supuestos de homogeneidad entre los gobiernos locales y en el tiempo</w:t>
      </w:r>
      <w:r w:rsidR="00C6538D" w:rsidRPr="008B5D7F">
        <w:rPr>
          <w:rFonts w:cstheme="minorHAnsi"/>
          <w:i/>
          <w:lang w:val="es-AR"/>
        </w:rPr>
        <w:t>”</w:t>
      </w:r>
      <w:r w:rsidR="00BE64CF" w:rsidRPr="008B5D7F">
        <w:rPr>
          <w:rFonts w:cstheme="minorHAnsi"/>
          <w:i/>
          <w:lang w:val="es-AR"/>
        </w:rPr>
        <w:t>.</w:t>
      </w:r>
      <w:r w:rsidR="00BE64CF" w:rsidRPr="008B5D7F">
        <w:rPr>
          <w:rFonts w:cstheme="minorHAnsi"/>
          <w:lang w:val="es-AR"/>
        </w:rPr>
        <w:t xml:space="preserve"> </w:t>
      </w:r>
      <w:r w:rsidR="004D402B" w:rsidRPr="008B5D7F">
        <w:rPr>
          <w:rFonts w:cstheme="minorHAnsi"/>
          <w:lang w:val="es-AR"/>
        </w:rPr>
        <w:t xml:space="preserve">Menciona que siempre está presente el riesgo de sesgo por variables omitidas, sin embargo </w:t>
      </w:r>
      <w:r w:rsidR="004D402B" w:rsidRPr="008B5D7F">
        <w:rPr>
          <w:rFonts w:cstheme="minorHAnsi"/>
          <w:i/>
          <w:lang w:val="es-AR"/>
        </w:rPr>
        <w:t>“</w:t>
      </w:r>
      <w:r w:rsidR="00BE64CF" w:rsidRPr="008B5D7F">
        <w:rPr>
          <w:rFonts w:cstheme="minorHAnsi"/>
          <w:i/>
          <w:lang w:val="es-AR"/>
        </w:rPr>
        <w:t>un modelo bien especificado y controlado por individuos, tiempo y efectos fijos permite obtener mejores resultados”.</w:t>
      </w:r>
      <w:r w:rsidR="00BE64CF" w:rsidRPr="008B5D7F">
        <w:rPr>
          <w:rFonts w:cstheme="minorHAnsi"/>
          <w:lang w:val="es-AR"/>
        </w:rPr>
        <w:t xml:space="preserve"> </w:t>
      </w:r>
      <w:r w:rsidR="0007665F" w:rsidRPr="008B5D7F">
        <w:rPr>
          <w:rFonts w:cstheme="minorHAnsi"/>
          <w:lang w:val="es-AR"/>
        </w:rPr>
        <w:t>A pesar de los aspectos positivos de utilizar datos de panel, n</w:t>
      </w:r>
      <w:r w:rsidR="00BE64CF" w:rsidRPr="008B5D7F">
        <w:rPr>
          <w:rFonts w:cstheme="minorHAnsi"/>
          <w:lang w:val="es-AR"/>
        </w:rPr>
        <w:t>o es tan sencillo realizar el análisis</w:t>
      </w:r>
      <w:r w:rsidR="0007665F" w:rsidRPr="008B5D7F">
        <w:rPr>
          <w:rFonts w:cstheme="minorHAnsi"/>
          <w:lang w:val="es-AR"/>
        </w:rPr>
        <w:t>. En palabras de</w:t>
      </w:r>
      <w:r w:rsidR="00BE64CF" w:rsidRPr="008B5D7F">
        <w:rPr>
          <w:rFonts w:cstheme="minorHAnsi"/>
          <w:lang w:val="es-AR"/>
        </w:rPr>
        <w:t xml:space="preserve"> la autora:</w:t>
      </w:r>
    </w:p>
    <w:p w14:paraId="5B5A99E4" w14:textId="6EBC0A64" w:rsidR="00BE64CF" w:rsidRPr="008B5D7F" w:rsidRDefault="00BE64CF" w:rsidP="008B5D7F">
      <w:pPr>
        <w:spacing w:line="240" w:lineRule="auto"/>
        <w:ind w:left="709" w:right="709" w:firstLine="0"/>
        <w:rPr>
          <w:rFonts w:cstheme="minorHAnsi"/>
          <w:lang w:val="es-AR"/>
        </w:rPr>
      </w:pPr>
      <w:r w:rsidRPr="008B5D7F">
        <w:rPr>
          <w:rFonts w:cstheme="minorHAnsi"/>
          <w:lang w:val="es-AR"/>
        </w:rPr>
        <w:t>El análisis panel favorece la solidez y la eficiencia de las estimaciones al contar con más observaciones por municipio. Sin embargo</w:t>
      </w:r>
      <w:r w:rsidR="0007665F" w:rsidRPr="008B5D7F">
        <w:rPr>
          <w:rFonts w:cstheme="minorHAnsi"/>
          <w:lang w:val="es-AR"/>
        </w:rPr>
        <w:t>,</w:t>
      </w:r>
      <w:r w:rsidRPr="008B5D7F">
        <w:rPr>
          <w:rFonts w:cstheme="minorHAnsi"/>
          <w:lang w:val="es-AR"/>
        </w:rPr>
        <w:t xml:space="preserve"> es ahí donde radica la dificultad para realizar este tipo de estudios, sobre todo en países en desarrollo como México: en ocasiones es imposible encontrar datos de periodos anter</w:t>
      </w:r>
      <w:r w:rsidR="001958BF" w:rsidRPr="008B5D7F">
        <w:rPr>
          <w:rFonts w:cstheme="minorHAnsi"/>
          <w:lang w:val="es-AR"/>
        </w:rPr>
        <w:t>iores para poblaciones grandes.</w:t>
      </w:r>
    </w:p>
    <w:p w14:paraId="60DF78CC" w14:textId="1A97F7FD" w:rsidR="00BE64CF" w:rsidRPr="008B5D7F" w:rsidRDefault="00BE64CF" w:rsidP="008B5D7F">
      <w:pPr>
        <w:spacing w:line="240" w:lineRule="auto"/>
        <w:rPr>
          <w:rFonts w:cstheme="minorHAnsi"/>
          <w:lang w:val="es-AR"/>
        </w:rPr>
      </w:pPr>
      <w:r w:rsidRPr="008B5D7F">
        <w:rPr>
          <w:rFonts w:cstheme="minorHAnsi"/>
          <w:lang w:val="es-AR"/>
        </w:rPr>
        <w:t xml:space="preserve">En su análisis </w:t>
      </w:r>
      <w:r w:rsidRPr="008B5D7F">
        <w:rPr>
          <w:rFonts w:cstheme="minorHAnsi"/>
          <w:i/>
          <w:lang w:val="es-AR"/>
        </w:rPr>
        <w:t>“el esfuerzo fiscal se mide como la razón de los ingresos propios recaudados sobre el producto interno bruto a nivel de gobierno local</w:t>
      </w:r>
      <w:r w:rsidRPr="008B5D7F">
        <w:rPr>
          <w:rFonts w:cstheme="minorHAnsi"/>
          <w:lang w:val="es-AR"/>
        </w:rPr>
        <w:t xml:space="preserve">”, manejando la hipótesis de que “la política de transferencias condicionadas y no condicionadas ha mermado el esfuerzo fiscal de los gobiernos </w:t>
      </w:r>
      <w:r w:rsidR="001958BF" w:rsidRPr="008B5D7F">
        <w:rPr>
          <w:rFonts w:cstheme="minorHAnsi"/>
          <w:lang w:val="es-AR"/>
        </w:rPr>
        <w:t>sub</w:t>
      </w:r>
      <w:r w:rsidRPr="008B5D7F">
        <w:rPr>
          <w:rFonts w:cstheme="minorHAnsi"/>
          <w:lang w:val="es-AR"/>
        </w:rPr>
        <w:t>nacionales”.</w:t>
      </w:r>
    </w:p>
    <w:p w14:paraId="337E78C9" w14:textId="012272D9" w:rsidR="00D4231C" w:rsidRPr="008B5D7F" w:rsidRDefault="00D4231C" w:rsidP="008B5D7F">
      <w:pPr>
        <w:spacing w:line="240" w:lineRule="auto"/>
        <w:rPr>
          <w:rFonts w:cstheme="minorHAnsi"/>
          <w:lang w:val="es-AR"/>
        </w:rPr>
      </w:pPr>
      <w:r w:rsidRPr="008B5D7F">
        <w:rPr>
          <w:rFonts w:cstheme="minorHAnsi"/>
          <w:lang w:val="es-AR"/>
        </w:rPr>
        <w:t>Una vez realizadas las estimaciones, encuentra que no es posible rechazar la hipótesis de que las transferencias de los ramos 28 y 33 (no condicionadas y condicionadas respectivamente) hayan tenido un efecto negativo sobre el esfuerzo fiscal de los municipios mexicanos durante el periodo de análisis (1993-2004). A continuación enuncia las consideraciones que deben hacerse antes de formu</w:t>
      </w:r>
      <w:r w:rsidR="00F51E4C" w:rsidRPr="008B5D7F">
        <w:rPr>
          <w:rFonts w:cstheme="minorHAnsi"/>
          <w:lang w:val="es-AR"/>
        </w:rPr>
        <w:t>lar recomendaciones de política.</w:t>
      </w:r>
      <w:r w:rsidRPr="008B5D7F">
        <w:rPr>
          <w:rFonts w:cstheme="minorHAnsi"/>
          <w:lang w:val="es-AR"/>
        </w:rPr>
        <w:t xml:space="preserve"> </w:t>
      </w:r>
      <w:r w:rsidR="00F51E4C" w:rsidRPr="008B5D7F">
        <w:rPr>
          <w:rFonts w:cstheme="minorHAnsi"/>
          <w:lang w:val="es-AR"/>
        </w:rPr>
        <w:t>E</w:t>
      </w:r>
      <w:r w:rsidRPr="008B5D7F">
        <w:rPr>
          <w:rFonts w:cstheme="minorHAnsi"/>
          <w:lang w:val="es-AR"/>
        </w:rPr>
        <w:t>n sus palabras:</w:t>
      </w:r>
    </w:p>
    <w:p w14:paraId="4C5645B9" w14:textId="5835292D" w:rsidR="00D4231C" w:rsidRPr="008B5D7F" w:rsidRDefault="00D4231C" w:rsidP="008B5D7F">
      <w:pPr>
        <w:spacing w:line="240" w:lineRule="auto"/>
        <w:ind w:left="709" w:right="709" w:firstLine="0"/>
        <w:rPr>
          <w:rFonts w:cstheme="minorHAnsi"/>
          <w:lang w:val="es-AR"/>
        </w:rPr>
      </w:pPr>
      <w:r w:rsidRPr="008B5D7F">
        <w:rPr>
          <w:rFonts w:cstheme="minorHAnsi"/>
          <w:lang w:val="es-AR"/>
        </w:rPr>
        <w:t>Los resultados confirman que la política de transferencias ha mermado el esfuerzo fiscal de los gobiernos locales. Sin embargo, antes de plantear recomendaciones de políticas públicas será necesario ahondar en las características de la actividad económica de los gobiernos locales. Debe tomarse en cuenta que las actividades económicas y las fuentes principales de impuestos, entre otras el sector comercial, son factores que explican en parte el resultado del esfuerzo fiscal de cada municipio. No conviene formular recomendaciones generales, puesto que para cada municipio se requiere un análisis individualizado que determine el porqué de su buen esfuerzo fiscal o de la carencia de éste</w:t>
      </w:r>
      <w:r w:rsidR="00AB7E79" w:rsidRPr="008B5D7F">
        <w:rPr>
          <w:rFonts w:cstheme="minorHAnsi"/>
          <w:lang w:val="es-AR"/>
        </w:rPr>
        <w:t>.</w:t>
      </w:r>
    </w:p>
    <w:p w14:paraId="3CE14B4C" w14:textId="6F5F15EC" w:rsidR="00D4231C" w:rsidRPr="008B5D7F" w:rsidRDefault="00D4231C" w:rsidP="008B5D7F">
      <w:pPr>
        <w:spacing w:line="240" w:lineRule="auto"/>
        <w:rPr>
          <w:rFonts w:cstheme="minorHAnsi"/>
          <w:lang w:val="es-AR"/>
        </w:rPr>
      </w:pPr>
      <w:r w:rsidRPr="008B5D7F">
        <w:rPr>
          <w:rFonts w:cstheme="minorHAnsi"/>
          <w:lang w:val="es-AR"/>
        </w:rPr>
        <w:t xml:space="preserve">Por último, y teniendo en cuenta los resultados obtenidos, pone en duda el </w:t>
      </w:r>
      <w:r w:rsidR="002E50BE" w:rsidRPr="008B5D7F">
        <w:rPr>
          <w:rFonts w:cstheme="minorHAnsi"/>
          <w:lang w:val="es-AR"/>
        </w:rPr>
        <w:t>“</w:t>
      </w:r>
      <w:r w:rsidRPr="008B5D7F">
        <w:rPr>
          <w:rFonts w:cstheme="minorHAnsi"/>
          <w:lang w:val="es-AR"/>
        </w:rPr>
        <w:t>mito</w:t>
      </w:r>
      <w:r w:rsidR="002E50BE" w:rsidRPr="008B5D7F">
        <w:rPr>
          <w:rFonts w:cstheme="minorHAnsi"/>
          <w:lang w:val="es-AR"/>
        </w:rPr>
        <w:t>”</w:t>
      </w:r>
      <w:r w:rsidRPr="008B5D7F">
        <w:rPr>
          <w:rFonts w:cstheme="minorHAnsi"/>
          <w:lang w:val="es-AR"/>
        </w:rPr>
        <w:t xml:space="preserve"> de que </w:t>
      </w:r>
      <w:r w:rsidR="002E50BE" w:rsidRPr="008B5D7F">
        <w:rPr>
          <w:rFonts w:cstheme="minorHAnsi"/>
          <w:lang w:val="es-AR"/>
        </w:rPr>
        <w:t xml:space="preserve">exista una relación positiva entre </w:t>
      </w:r>
      <w:r w:rsidRPr="008B5D7F">
        <w:rPr>
          <w:rFonts w:cstheme="minorHAnsi"/>
          <w:lang w:val="es-AR"/>
        </w:rPr>
        <w:t xml:space="preserve">el tamaño de los gobiernos locales </w:t>
      </w:r>
      <w:r w:rsidR="002E50BE" w:rsidRPr="008B5D7F">
        <w:rPr>
          <w:rFonts w:cstheme="minorHAnsi"/>
          <w:lang w:val="es-AR"/>
        </w:rPr>
        <w:t>y</w:t>
      </w:r>
      <w:r w:rsidRPr="008B5D7F">
        <w:rPr>
          <w:rFonts w:cstheme="minorHAnsi"/>
          <w:lang w:val="es-AR"/>
        </w:rPr>
        <w:t xml:space="preserve"> el esfuerzo fisca</w:t>
      </w:r>
      <w:r w:rsidR="002E50BE" w:rsidRPr="008B5D7F">
        <w:rPr>
          <w:rFonts w:cstheme="minorHAnsi"/>
          <w:lang w:val="es-AR"/>
        </w:rPr>
        <w:t>l que realizan</w:t>
      </w:r>
      <w:r w:rsidRPr="008B5D7F">
        <w:rPr>
          <w:rFonts w:cstheme="minorHAnsi"/>
          <w:lang w:val="es-AR"/>
        </w:rPr>
        <w:t>.</w:t>
      </w:r>
    </w:p>
    <w:p w14:paraId="08D12396" w14:textId="778EE218" w:rsidR="000318FB" w:rsidRPr="008B5D7F" w:rsidRDefault="00847114" w:rsidP="008B5D7F">
      <w:pPr>
        <w:spacing w:line="240" w:lineRule="auto"/>
        <w:rPr>
          <w:rFonts w:cstheme="minorHAnsi"/>
          <w:lang w:val="es-AR"/>
        </w:rPr>
      </w:pPr>
      <w:r w:rsidRPr="008B5D7F">
        <w:rPr>
          <w:rFonts w:cstheme="minorHAnsi"/>
          <w:lang w:val="es-AR"/>
        </w:rPr>
        <w:t xml:space="preserve">Por otro lado, Zabalza </w:t>
      </w:r>
      <w:r w:rsidR="00481D74" w:rsidRPr="008B5D7F">
        <w:rPr>
          <w:rFonts w:cstheme="minorHAnsi"/>
          <w:lang w:val="es-AR"/>
        </w:rPr>
        <w:t>et al.</w:t>
      </w:r>
      <w:r w:rsidR="004C7327" w:rsidRPr="008B5D7F">
        <w:rPr>
          <w:rFonts w:cstheme="minorHAnsi"/>
          <w:lang w:val="es-AR"/>
        </w:rPr>
        <w:t xml:space="preserve"> </w:t>
      </w:r>
      <w:r w:rsidRPr="008B5D7F">
        <w:rPr>
          <w:rFonts w:cstheme="minorHAnsi"/>
          <w:lang w:val="es-AR"/>
        </w:rPr>
        <w:t>(</w:t>
      </w:r>
      <w:r w:rsidR="004C7327" w:rsidRPr="008B5D7F">
        <w:rPr>
          <w:rFonts w:cstheme="minorHAnsi"/>
          <w:lang w:val="es-AR"/>
        </w:rPr>
        <w:t>1999</w:t>
      </w:r>
      <w:r w:rsidRPr="008B5D7F">
        <w:rPr>
          <w:rFonts w:cstheme="minorHAnsi"/>
          <w:lang w:val="es-AR"/>
        </w:rPr>
        <w:t>), se avoc</w:t>
      </w:r>
      <w:r w:rsidR="004C7327" w:rsidRPr="008B5D7F">
        <w:rPr>
          <w:rFonts w:cstheme="minorHAnsi"/>
          <w:lang w:val="es-AR"/>
        </w:rPr>
        <w:t>aron</w:t>
      </w:r>
      <w:r w:rsidRPr="008B5D7F">
        <w:rPr>
          <w:rFonts w:cstheme="minorHAnsi"/>
          <w:lang w:val="es-AR"/>
        </w:rPr>
        <w:t xml:space="preserve"> a índices relativos de esfuerzo fiscal. </w:t>
      </w:r>
      <w:r w:rsidR="00D65380" w:rsidRPr="008B5D7F">
        <w:rPr>
          <w:rFonts w:cstheme="minorHAnsi"/>
          <w:lang w:val="es-AR"/>
        </w:rPr>
        <w:t>Ellos d</w:t>
      </w:r>
      <w:r w:rsidRPr="008B5D7F">
        <w:rPr>
          <w:rFonts w:cstheme="minorHAnsi"/>
          <w:lang w:val="es-AR"/>
        </w:rPr>
        <w:t>efine</w:t>
      </w:r>
      <w:r w:rsidR="00D65380" w:rsidRPr="008B5D7F">
        <w:rPr>
          <w:rFonts w:cstheme="minorHAnsi"/>
          <w:lang w:val="es-AR"/>
        </w:rPr>
        <w:t>n</w:t>
      </w:r>
      <w:r w:rsidRPr="008B5D7F">
        <w:rPr>
          <w:rFonts w:cstheme="minorHAnsi"/>
          <w:lang w:val="es-AR"/>
        </w:rPr>
        <w:t xml:space="preserve"> el índice relativo de esfuerzo fiscal (IREF) de la comunidad i como:</w:t>
      </w:r>
    </w:p>
    <w:p w14:paraId="2D6C3ABA" w14:textId="24482D56" w:rsidR="00847114" w:rsidRPr="008B5D7F" w:rsidRDefault="00EE621F" w:rsidP="008B5D7F">
      <w:pPr>
        <w:spacing w:line="240" w:lineRule="auto"/>
        <w:rPr>
          <w:rFonts w:cstheme="minorHAnsi"/>
          <w:lang w:val="es-AR"/>
        </w:rPr>
      </w:pPr>
      <m:oMathPara>
        <m:oMath>
          <m:sSub>
            <m:sSubPr>
              <m:ctrlPr>
                <w:rPr>
                  <w:rFonts w:ascii="Cambria Math" w:hAnsi="Cambria Math" w:cstheme="minorHAnsi"/>
                  <w:i/>
                  <w:lang w:val="es-AR"/>
                </w:rPr>
              </m:ctrlPr>
            </m:sSubPr>
            <m:e>
              <m:r>
                <w:rPr>
                  <w:rFonts w:ascii="Cambria Math" w:hAnsi="Cambria Math" w:cstheme="minorHAnsi"/>
                  <w:lang w:val="es-AR"/>
                </w:rPr>
                <m:t>IREF</m:t>
              </m:r>
            </m:e>
            <m:sub>
              <m:r>
                <w:rPr>
                  <w:rFonts w:ascii="Cambria Math" w:hAnsi="Cambria Math" w:cstheme="minorHAnsi"/>
                  <w:lang w:val="es-AR"/>
                </w:rPr>
                <m:t>i</m:t>
              </m:r>
            </m:sub>
          </m:sSub>
          <m:r>
            <w:rPr>
              <w:rFonts w:ascii="Cambria Math" w:hAnsi="Cambria Math" w:cstheme="minorHAnsi"/>
              <w:lang w:val="es-AR"/>
            </w:rPr>
            <m:t>=</m:t>
          </m:r>
          <m:f>
            <m:fPr>
              <m:ctrlPr>
                <w:rPr>
                  <w:rFonts w:ascii="Cambria Math" w:hAnsi="Cambria Math" w:cstheme="minorHAnsi"/>
                  <w:i/>
                  <w:lang w:val="es-AR"/>
                </w:rPr>
              </m:ctrlPr>
            </m:fPr>
            <m:num>
              <m:sSub>
                <m:sSubPr>
                  <m:ctrlPr>
                    <w:rPr>
                      <w:rFonts w:ascii="Cambria Math" w:hAnsi="Cambria Math" w:cstheme="minorHAnsi"/>
                      <w:i/>
                      <w:lang w:val="es-AR"/>
                    </w:rPr>
                  </m:ctrlPr>
                </m:sSubPr>
                <m:e>
                  <m:r>
                    <w:rPr>
                      <w:rFonts w:ascii="Cambria Math" w:hAnsi="Cambria Math" w:cstheme="minorHAnsi"/>
                      <w:lang w:val="es-AR"/>
                    </w:rPr>
                    <m:t>T</m:t>
                  </m:r>
                </m:e>
                <m:sub>
                  <m:r>
                    <w:rPr>
                      <w:rFonts w:ascii="Cambria Math" w:hAnsi="Cambria Math" w:cstheme="minorHAnsi"/>
                      <w:lang w:val="es-AR"/>
                    </w:rPr>
                    <m:t>i</m:t>
                  </m:r>
                </m:sub>
              </m:sSub>
            </m:num>
            <m:den>
              <m:sSubSup>
                <m:sSubSupPr>
                  <m:ctrlPr>
                    <w:rPr>
                      <w:rFonts w:ascii="Cambria Math" w:hAnsi="Cambria Math" w:cstheme="minorHAnsi"/>
                      <w:i/>
                      <w:lang w:val="es-AR"/>
                    </w:rPr>
                  </m:ctrlPr>
                </m:sSubSupPr>
                <m:e>
                  <m:r>
                    <w:rPr>
                      <w:rFonts w:ascii="Cambria Math" w:hAnsi="Cambria Math" w:cstheme="minorHAnsi"/>
                      <w:lang w:val="es-AR"/>
                    </w:rPr>
                    <m:t>T</m:t>
                  </m:r>
                </m:e>
                <m:sub>
                  <m:r>
                    <w:rPr>
                      <w:rFonts w:ascii="Cambria Math" w:hAnsi="Cambria Math" w:cstheme="minorHAnsi"/>
                      <w:lang w:val="es-AR"/>
                    </w:rPr>
                    <m:t>i</m:t>
                  </m:r>
                </m:sub>
                <m:sup>
                  <m:r>
                    <w:rPr>
                      <w:rFonts w:ascii="Cambria Math" w:hAnsi="Cambria Math" w:cstheme="minorHAnsi"/>
                      <w:lang w:val="es-AR"/>
                    </w:rPr>
                    <m:t>*</m:t>
                  </m:r>
                </m:sup>
              </m:sSubSup>
            </m:den>
          </m:f>
          <m:r>
            <w:rPr>
              <w:rFonts w:ascii="Cambria Math" w:hAnsi="Cambria Math" w:cstheme="minorHAnsi"/>
              <w:lang w:val="es-AR"/>
            </w:rPr>
            <m:t xml:space="preserve">     </m:t>
          </m:r>
        </m:oMath>
      </m:oMathPara>
    </w:p>
    <w:p w14:paraId="6DC9FA54" w14:textId="222A520E" w:rsidR="002B009B" w:rsidRPr="008B5D7F" w:rsidRDefault="002B009B" w:rsidP="008B5D7F">
      <w:pPr>
        <w:spacing w:line="240" w:lineRule="auto"/>
        <w:rPr>
          <w:rFonts w:cstheme="minorHAnsi"/>
          <w:lang w:val="es-AR"/>
        </w:rPr>
      </w:pPr>
      <w:r w:rsidRPr="008B5D7F">
        <w:rPr>
          <w:rFonts w:cstheme="minorHAnsi"/>
          <w:lang w:val="es-AR"/>
        </w:rPr>
        <w:t>Donde T</w:t>
      </w:r>
      <w:r w:rsidRPr="008B5D7F">
        <w:rPr>
          <w:rFonts w:cstheme="minorHAnsi"/>
          <w:vertAlign w:val="subscript"/>
          <w:lang w:val="es-AR"/>
        </w:rPr>
        <w:t>i</w:t>
      </w:r>
      <w:r w:rsidRPr="008B5D7F">
        <w:rPr>
          <w:rFonts w:cstheme="minorHAnsi"/>
          <w:lang w:val="es-AR"/>
        </w:rPr>
        <w:t xml:space="preserve"> es la recaudación real de la </w:t>
      </w:r>
      <w:r w:rsidR="00D65380" w:rsidRPr="008B5D7F">
        <w:rPr>
          <w:rFonts w:cstheme="minorHAnsi"/>
          <w:lang w:val="es-AR"/>
        </w:rPr>
        <w:t>c</w:t>
      </w:r>
      <w:r w:rsidRPr="008B5D7F">
        <w:rPr>
          <w:rFonts w:cstheme="minorHAnsi"/>
          <w:lang w:val="es-AR"/>
        </w:rPr>
        <w:t xml:space="preserve">omunidad </w:t>
      </w:r>
      <w:r w:rsidR="00D65380" w:rsidRPr="008B5D7F">
        <w:rPr>
          <w:rFonts w:cstheme="minorHAnsi"/>
          <w:lang w:val="es-AR"/>
        </w:rPr>
        <w:t>i, mientras que</w:t>
      </w:r>
      <w:r w:rsidRPr="008B5D7F">
        <w:rPr>
          <w:rFonts w:cstheme="minorHAnsi"/>
          <w:lang w:val="es-AR"/>
        </w:rPr>
        <w:t xml:space="preserve"> T</w:t>
      </w:r>
      <w:r w:rsidRPr="008B5D7F">
        <w:rPr>
          <w:rFonts w:cstheme="minorHAnsi"/>
          <w:vertAlign w:val="subscript"/>
          <w:lang w:val="es-AR"/>
        </w:rPr>
        <w:t>i</w:t>
      </w:r>
      <w:r w:rsidRPr="008B5D7F">
        <w:rPr>
          <w:rFonts w:cstheme="minorHAnsi"/>
          <w:vertAlign w:val="superscript"/>
          <w:lang w:val="es-AR"/>
        </w:rPr>
        <w:t>*</w:t>
      </w:r>
      <w:r w:rsidRPr="008B5D7F">
        <w:rPr>
          <w:rFonts w:cstheme="minorHAnsi"/>
          <w:lang w:val="es-AR"/>
        </w:rPr>
        <w:t xml:space="preserve"> </w:t>
      </w:r>
      <w:r w:rsidR="00D65380" w:rsidRPr="008B5D7F">
        <w:rPr>
          <w:rFonts w:cstheme="minorHAnsi"/>
          <w:lang w:val="es-AR"/>
        </w:rPr>
        <w:t xml:space="preserve">es </w:t>
      </w:r>
      <w:r w:rsidRPr="008B5D7F">
        <w:rPr>
          <w:rFonts w:cstheme="minorHAnsi"/>
          <w:lang w:val="es-AR"/>
        </w:rPr>
        <w:t>su recaudación estándar. Supon</w:t>
      </w:r>
      <w:r w:rsidR="00D65380" w:rsidRPr="008B5D7F">
        <w:rPr>
          <w:rFonts w:cstheme="minorHAnsi"/>
          <w:lang w:val="es-AR"/>
        </w:rPr>
        <w:t xml:space="preserve">en </w:t>
      </w:r>
      <w:r w:rsidRPr="008B5D7F">
        <w:rPr>
          <w:rFonts w:cstheme="minorHAnsi"/>
          <w:lang w:val="es-AR"/>
        </w:rPr>
        <w:t>que T</w:t>
      </w:r>
      <w:r w:rsidRPr="008B5D7F">
        <w:rPr>
          <w:rFonts w:cstheme="minorHAnsi"/>
          <w:vertAlign w:val="subscript"/>
          <w:lang w:val="es-AR"/>
        </w:rPr>
        <w:t>i</w:t>
      </w:r>
      <w:r w:rsidRPr="008B5D7F">
        <w:rPr>
          <w:rFonts w:cstheme="minorHAnsi"/>
          <w:vertAlign w:val="superscript"/>
          <w:lang w:val="es-AR"/>
        </w:rPr>
        <w:t>´</w:t>
      </w:r>
      <w:r w:rsidRPr="008B5D7F">
        <w:rPr>
          <w:rFonts w:cstheme="minorHAnsi"/>
          <w:lang w:val="es-AR"/>
        </w:rPr>
        <w:t xml:space="preserve"> es la recaudación teórica bajo el supuesto de cumplimiento total del impuesto. </w:t>
      </w:r>
      <w:r w:rsidR="00D65380" w:rsidRPr="008B5D7F">
        <w:rPr>
          <w:rFonts w:cstheme="minorHAnsi"/>
          <w:lang w:val="es-AR"/>
        </w:rPr>
        <w:t xml:space="preserve">Siendo este el caso, </w:t>
      </w:r>
      <w:r w:rsidRPr="008B5D7F">
        <w:rPr>
          <w:rFonts w:cstheme="minorHAnsi"/>
          <w:lang w:val="es-AR"/>
        </w:rPr>
        <w:t>el índice conceptualmente correcto</w:t>
      </w:r>
      <w:r w:rsidR="00D65380" w:rsidRPr="008B5D7F">
        <w:rPr>
          <w:rFonts w:cstheme="minorHAnsi"/>
          <w:lang w:val="es-AR"/>
        </w:rPr>
        <w:t xml:space="preserve"> (lo llaman Índice de Fraude Fiscal –IFF-) sería:</w:t>
      </w:r>
    </w:p>
    <w:p w14:paraId="5A4EF2C1" w14:textId="7330ABF9" w:rsidR="000318FB" w:rsidRPr="008B5D7F" w:rsidRDefault="00EE621F" w:rsidP="008B5D7F">
      <w:pPr>
        <w:spacing w:line="240" w:lineRule="auto"/>
        <w:rPr>
          <w:rFonts w:cstheme="minorHAnsi"/>
          <w:lang w:val="es-AR"/>
        </w:rPr>
      </w:pPr>
      <m:oMathPara>
        <m:oMath>
          <m:sSub>
            <m:sSubPr>
              <m:ctrlPr>
                <w:rPr>
                  <w:rFonts w:ascii="Cambria Math" w:hAnsi="Cambria Math" w:cstheme="minorHAnsi"/>
                  <w:i/>
                  <w:lang w:val="es-AR"/>
                </w:rPr>
              </m:ctrlPr>
            </m:sSubPr>
            <m:e>
              <m:r>
                <w:rPr>
                  <w:rFonts w:ascii="Cambria Math" w:hAnsi="Cambria Math" w:cstheme="minorHAnsi"/>
                  <w:lang w:val="es-AR"/>
                </w:rPr>
                <m:t>IFF</m:t>
              </m:r>
            </m:e>
            <m:sub>
              <m:r>
                <w:rPr>
                  <w:rFonts w:ascii="Cambria Math" w:hAnsi="Cambria Math" w:cstheme="minorHAnsi"/>
                  <w:lang w:val="es-AR"/>
                </w:rPr>
                <m:t>i</m:t>
              </m:r>
            </m:sub>
          </m:sSub>
          <m:r>
            <w:rPr>
              <w:rFonts w:ascii="Cambria Math" w:hAnsi="Cambria Math" w:cstheme="minorHAnsi"/>
              <w:lang w:val="es-AR"/>
            </w:rPr>
            <m:t>=</m:t>
          </m:r>
          <m:f>
            <m:fPr>
              <m:ctrlPr>
                <w:rPr>
                  <w:rFonts w:ascii="Cambria Math" w:hAnsi="Cambria Math" w:cstheme="minorHAnsi"/>
                  <w:i/>
                  <w:lang w:val="es-AR"/>
                </w:rPr>
              </m:ctrlPr>
            </m:fPr>
            <m:num>
              <m:sSub>
                <m:sSubPr>
                  <m:ctrlPr>
                    <w:rPr>
                      <w:rFonts w:ascii="Cambria Math" w:hAnsi="Cambria Math" w:cstheme="minorHAnsi"/>
                      <w:i/>
                      <w:lang w:val="es-AR"/>
                    </w:rPr>
                  </m:ctrlPr>
                </m:sSubPr>
                <m:e>
                  <m:r>
                    <w:rPr>
                      <w:rFonts w:ascii="Cambria Math" w:hAnsi="Cambria Math" w:cstheme="minorHAnsi"/>
                      <w:lang w:val="es-AR"/>
                    </w:rPr>
                    <m:t>T</m:t>
                  </m:r>
                </m:e>
                <m:sub>
                  <m:r>
                    <w:rPr>
                      <w:rFonts w:ascii="Cambria Math" w:hAnsi="Cambria Math" w:cstheme="minorHAnsi"/>
                      <w:lang w:val="es-AR"/>
                    </w:rPr>
                    <m:t>i</m:t>
                  </m:r>
                </m:sub>
              </m:sSub>
            </m:num>
            <m:den>
              <m:sSubSup>
                <m:sSubSupPr>
                  <m:ctrlPr>
                    <w:rPr>
                      <w:rFonts w:ascii="Cambria Math" w:hAnsi="Cambria Math" w:cstheme="minorHAnsi"/>
                      <w:i/>
                      <w:lang w:val="es-AR"/>
                    </w:rPr>
                  </m:ctrlPr>
                </m:sSubSupPr>
                <m:e>
                  <m:r>
                    <w:rPr>
                      <w:rFonts w:ascii="Cambria Math" w:hAnsi="Cambria Math" w:cstheme="minorHAnsi"/>
                      <w:lang w:val="es-AR"/>
                    </w:rPr>
                    <m:t>T</m:t>
                  </m:r>
                </m:e>
                <m:sub>
                  <m:r>
                    <w:rPr>
                      <w:rFonts w:ascii="Cambria Math" w:hAnsi="Cambria Math" w:cstheme="minorHAnsi"/>
                      <w:lang w:val="es-AR"/>
                    </w:rPr>
                    <m:t>i</m:t>
                  </m:r>
                </m:sub>
                <m:sup>
                  <m:r>
                    <w:rPr>
                      <w:rFonts w:ascii="Cambria Math" w:hAnsi="Cambria Math" w:cstheme="minorHAnsi"/>
                      <w:lang w:val="es-AR"/>
                    </w:rPr>
                    <m:t>´</m:t>
                  </m:r>
                </m:sup>
              </m:sSubSup>
            </m:den>
          </m:f>
          <m:r>
            <w:rPr>
              <w:rFonts w:ascii="Cambria Math" w:hAnsi="Cambria Math" w:cstheme="minorHAnsi"/>
              <w:lang w:val="es-AR"/>
            </w:rPr>
            <m:t xml:space="preserve">       </m:t>
          </m:r>
        </m:oMath>
      </m:oMathPara>
    </w:p>
    <w:p w14:paraId="74EC6D0C" w14:textId="2B3DB6D0" w:rsidR="007E2F3B" w:rsidRPr="008B5D7F" w:rsidRDefault="002B009B" w:rsidP="008B5D7F">
      <w:pPr>
        <w:spacing w:line="240" w:lineRule="auto"/>
        <w:rPr>
          <w:rFonts w:cstheme="minorHAnsi"/>
          <w:lang w:val="es-AR"/>
        </w:rPr>
      </w:pPr>
      <w:r w:rsidRPr="008B5D7F">
        <w:rPr>
          <w:rFonts w:cstheme="minorHAnsi"/>
          <w:lang w:val="es-AR"/>
        </w:rPr>
        <w:lastRenderedPageBreak/>
        <w:t>Y por tanto,</w:t>
      </w:r>
    </w:p>
    <w:p w14:paraId="6C27F332" w14:textId="07236043" w:rsidR="007E2F3B" w:rsidRPr="008B5D7F" w:rsidRDefault="00EE621F" w:rsidP="008B5D7F">
      <w:pPr>
        <w:spacing w:line="240" w:lineRule="auto"/>
        <w:rPr>
          <w:rFonts w:cstheme="minorHAnsi"/>
          <w:lang w:val="es-AR"/>
        </w:rPr>
      </w:pPr>
      <m:oMathPara>
        <m:oMath>
          <m:sSub>
            <m:sSubPr>
              <m:ctrlPr>
                <w:rPr>
                  <w:rFonts w:ascii="Cambria Math" w:hAnsi="Cambria Math" w:cstheme="minorHAnsi"/>
                  <w:i/>
                  <w:lang w:val="es-AR"/>
                </w:rPr>
              </m:ctrlPr>
            </m:sSubPr>
            <m:e>
              <m:r>
                <w:rPr>
                  <w:rFonts w:ascii="Cambria Math" w:hAnsi="Cambria Math" w:cstheme="minorHAnsi"/>
                  <w:lang w:val="es-AR"/>
                </w:rPr>
                <m:t>IREF</m:t>
              </m:r>
            </m:e>
            <m:sub>
              <m:r>
                <w:rPr>
                  <w:rFonts w:ascii="Cambria Math" w:hAnsi="Cambria Math" w:cstheme="minorHAnsi"/>
                  <w:lang w:val="es-AR"/>
                </w:rPr>
                <m:t>i</m:t>
              </m:r>
            </m:sub>
          </m:sSub>
          <m:r>
            <w:rPr>
              <w:rFonts w:ascii="Cambria Math" w:hAnsi="Cambria Math" w:cstheme="minorHAnsi"/>
              <w:lang w:val="es-AR"/>
            </w:rPr>
            <m:t>=</m:t>
          </m:r>
          <m:f>
            <m:fPr>
              <m:ctrlPr>
                <w:rPr>
                  <w:rFonts w:ascii="Cambria Math" w:hAnsi="Cambria Math" w:cstheme="minorHAnsi"/>
                  <w:i/>
                  <w:lang w:val="es-AR"/>
                </w:rPr>
              </m:ctrlPr>
            </m:fPr>
            <m:num>
              <m:sSub>
                <m:sSubPr>
                  <m:ctrlPr>
                    <w:rPr>
                      <w:rFonts w:ascii="Cambria Math" w:hAnsi="Cambria Math" w:cstheme="minorHAnsi"/>
                      <w:i/>
                      <w:lang w:val="es-AR"/>
                    </w:rPr>
                  </m:ctrlPr>
                </m:sSubPr>
                <m:e>
                  <m:r>
                    <w:rPr>
                      <w:rFonts w:ascii="Cambria Math" w:hAnsi="Cambria Math" w:cstheme="minorHAnsi"/>
                      <w:lang w:val="es-AR"/>
                    </w:rPr>
                    <m:t>T</m:t>
                  </m:r>
                </m:e>
                <m:sub>
                  <m:r>
                    <w:rPr>
                      <w:rFonts w:ascii="Cambria Math" w:hAnsi="Cambria Math" w:cstheme="minorHAnsi"/>
                      <w:lang w:val="es-AR"/>
                    </w:rPr>
                    <m:t>i</m:t>
                  </m:r>
                </m:sub>
              </m:sSub>
            </m:num>
            <m:den>
              <m:sSubSup>
                <m:sSubSupPr>
                  <m:ctrlPr>
                    <w:rPr>
                      <w:rFonts w:ascii="Cambria Math" w:hAnsi="Cambria Math" w:cstheme="minorHAnsi"/>
                      <w:i/>
                      <w:lang w:val="es-AR"/>
                    </w:rPr>
                  </m:ctrlPr>
                </m:sSubSupPr>
                <m:e>
                  <m:r>
                    <w:rPr>
                      <w:rFonts w:ascii="Cambria Math" w:hAnsi="Cambria Math" w:cstheme="minorHAnsi"/>
                      <w:lang w:val="es-AR"/>
                    </w:rPr>
                    <m:t>T</m:t>
                  </m:r>
                </m:e>
                <m:sub>
                  <m:r>
                    <w:rPr>
                      <w:rFonts w:ascii="Cambria Math" w:hAnsi="Cambria Math" w:cstheme="minorHAnsi"/>
                      <w:lang w:val="es-AR"/>
                    </w:rPr>
                    <m:t>i</m:t>
                  </m:r>
                </m:sub>
                <m:sup>
                  <m:r>
                    <w:rPr>
                      <w:rFonts w:ascii="Cambria Math" w:hAnsi="Cambria Math" w:cstheme="minorHAnsi"/>
                      <w:lang w:val="es-AR"/>
                    </w:rPr>
                    <m:t>*</m:t>
                  </m:r>
                </m:sup>
              </m:sSubSup>
            </m:den>
          </m:f>
          <m:r>
            <w:rPr>
              <w:rFonts w:ascii="Cambria Math" w:hAnsi="Cambria Math" w:cstheme="minorHAnsi"/>
              <w:lang w:val="es-AR"/>
            </w:rPr>
            <m:t>=</m:t>
          </m:r>
          <m:f>
            <m:fPr>
              <m:ctrlPr>
                <w:rPr>
                  <w:rFonts w:ascii="Cambria Math" w:hAnsi="Cambria Math" w:cstheme="minorHAnsi"/>
                  <w:i/>
                  <w:lang w:val="es-AR"/>
                </w:rPr>
              </m:ctrlPr>
            </m:fPr>
            <m:num>
              <m:sSub>
                <m:sSubPr>
                  <m:ctrlPr>
                    <w:rPr>
                      <w:rFonts w:ascii="Cambria Math" w:hAnsi="Cambria Math" w:cstheme="minorHAnsi"/>
                      <w:i/>
                      <w:lang w:val="es-AR"/>
                    </w:rPr>
                  </m:ctrlPr>
                </m:sSubPr>
                <m:e>
                  <m:r>
                    <w:rPr>
                      <w:rFonts w:ascii="Cambria Math" w:hAnsi="Cambria Math" w:cstheme="minorHAnsi"/>
                      <w:lang w:val="es-AR"/>
                    </w:rPr>
                    <m:t>T</m:t>
                  </m:r>
                </m:e>
                <m:sub>
                  <m:r>
                    <w:rPr>
                      <w:rFonts w:ascii="Cambria Math" w:hAnsi="Cambria Math" w:cstheme="minorHAnsi"/>
                      <w:lang w:val="es-AR"/>
                    </w:rPr>
                    <m:t>i</m:t>
                  </m:r>
                </m:sub>
              </m:sSub>
            </m:num>
            <m:den>
              <m:sSubSup>
                <m:sSubSupPr>
                  <m:ctrlPr>
                    <w:rPr>
                      <w:rFonts w:ascii="Cambria Math" w:hAnsi="Cambria Math" w:cstheme="minorHAnsi"/>
                      <w:i/>
                      <w:lang w:val="es-AR"/>
                    </w:rPr>
                  </m:ctrlPr>
                </m:sSubSupPr>
                <m:e>
                  <m:r>
                    <w:rPr>
                      <w:rFonts w:ascii="Cambria Math" w:hAnsi="Cambria Math" w:cstheme="minorHAnsi"/>
                      <w:lang w:val="es-AR"/>
                    </w:rPr>
                    <m:t>T</m:t>
                  </m:r>
                </m:e>
                <m:sub>
                  <m:r>
                    <w:rPr>
                      <w:rFonts w:ascii="Cambria Math" w:hAnsi="Cambria Math" w:cstheme="minorHAnsi"/>
                      <w:lang w:val="es-AR"/>
                    </w:rPr>
                    <m:t>i</m:t>
                  </m:r>
                </m:sub>
                <m:sup>
                  <m:r>
                    <w:rPr>
                      <w:rFonts w:ascii="Cambria Math" w:hAnsi="Cambria Math" w:cstheme="minorHAnsi"/>
                      <w:lang w:val="es-AR"/>
                    </w:rPr>
                    <m:t>´</m:t>
                  </m:r>
                </m:sup>
              </m:sSubSup>
            </m:den>
          </m:f>
          <m:f>
            <m:fPr>
              <m:ctrlPr>
                <w:rPr>
                  <w:rFonts w:ascii="Cambria Math" w:hAnsi="Cambria Math" w:cstheme="minorHAnsi"/>
                  <w:i/>
                  <w:lang w:val="es-AR"/>
                </w:rPr>
              </m:ctrlPr>
            </m:fPr>
            <m:num>
              <m:sSubSup>
                <m:sSubSupPr>
                  <m:ctrlPr>
                    <w:rPr>
                      <w:rFonts w:ascii="Cambria Math" w:hAnsi="Cambria Math" w:cstheme="minorHAnsi"/>
                      <w:i/>
                      <w:lang w:val="es-AR"/>
                    </w:rPr>
                  </m:ctrlPr>
                </m:sSubSupPr>
                <m:e>
                  <m:r>
                    <w:rPr>
                      <w:rFonts w:ascii="Cambria Math" w:hAnsi="Cambria Math" w:cstheme="minorHAnsi"/>
                      <w:lang w:val="es-AR"/>
                    </w:rPr>
                    <m:t>T</m:t>
                  </m:r>
                </m:e>
                <m:sub>
                  <m:r>
                    <w:rPr>
                      <w:rFonts w:ascii="Cambria Math" w:hAnsi="Cambria Math" w:cstheme="minorHAnsi"/>
                      <w:lang w:val="es-AR"/>
                    </w:rPr>
                    <m:t>i</m:t>
                  </m:r>
                </m:sub>
                <m:sup>
                  <m:r>
                    <w:rPr>
                      <w:rFonts w:ascii="Cambria Math" w:hAnsi="Cambria Math" w:cstheme="minorHAnsi"/>
                      <w:lang w:val="es-AR"/>
                    </w:rPr>
                    <m:t>´</m:t>
                  </m:r>
                </m:sup>
              </m:sSubSup>
            </m:num>
            <m:den>
              <m:sSubSup>
                <m:sSubSupPr>
                  <m:ctrlPr>
                    <w:rPr>
                      <w:rFonts w:ascii="Cambria Math" w:hAnsi="Cambria Math" w:cstheme="minorHAnsi"/>
                      <w:i/>
                      <w:lang w:val="es-AR"/>
                    </w:rPr>
                  </m:ctrlPr>
                </m:sSubSupPr>
                <m:e>
                  <m:r>
                    <w:rPr>
                      <w:rFonts w:ascii="Cambria Math" w:hAnsi="Cambria Math" w:cstheme="minorHAnsi"/>
                      <w:lang w:val="es-AR"/>
                    </w:rPr>
                    <m:t>T</m:t>
                  </m:r>
                </m:e>
                <m:sub>
                  <m:r>
                    <w:rPr>
                      <w:rFonts w:ascii="Cambria Math" w:hAnsi="Cambria Math" w:cstheme="minorHAnsi"/>
                      <w:lang w:val="es-AR"/>
                    </w:rPr>
                    <m:t>i</m:t>
                  </m:r>
                </m:sub>
                <m:sup>
                  <m:r>
                    <w:rPr>
                      <w:rFonts w:ascii="Cambria Math" w:hAnsi="Cambria Math" w:cstheme="minorHAnsi"/>
                      <w:lang w:val="es-AR"/>
                    </w:rPr>
                    <m:t>*</m:t>
                  </m:r>
                </m:sup>
              </m:sSubSup>
            </m:den>
          </m:f>
          <m:r>
            <w:rPr>
              <w:rFonts w:ascii="Cambria Math" w:hAnsi="Cambria Math" w:cstheme="minorHAnsi"/>
              <w:lang w:val="es-AR"/>
            </w:rPr>
            <m:t>=</m:t>
          </m:r>
          <m:sSub>
            <m:sSubPr>
              <m:ctrlPr>
                <w:rPr>
                  <w:rFonts w:ascii="Cambria Math" w:hAnsi="Cambria Math" w:cstheme="minorHAnsi"/>
                  <w:i/>
                  <w:lang w:val="es-AR"/>
                </w:rPr>
              </m:ctrlPr>
            </m:sSubPr>
            <m:e>
              <m:r>
                <w:rPr>
                  <w:rFonts w:ascii="Cambria Math" w:hAnsi="Cambria Math" w:cstheme="minorHAnsi"/>
                  <w:lang w:val="es-AR"/>
                </w:rPr>
                <m:t>IFF</m:t>
              </m:r>
            </m:e>
            <m:sub>
              <m:r>
                <w:rPr>
                  <w:rFonts w:ascii="Cambria Math" w:hAnsi="Cambria Math" w:cstheme="minorHAnsi"/>
                  <w:lang w:val="es-AR"/>
                </w:rPr>
                <m:t>i</m:t>
              </m:r>
            </m:sub>
          </m:sSub>
          <m:f>
            <m:fPr>
              <m:ctrlPr>
                <w:rPr>
                  <w:rFonts w:ascii="Cambria Math" w:hAnsi="Cambria Math" w:cstheme="minorHAnsi"/>
                  <w:i/>
                  <w:lang w:val="es-AR"/>
                </w:rPr>
              </m:ctrlPr>
            </m:fPr>
            <m:num>
              <m:sSubSup>
                <m:sSubSupPr>
                  <m:ctrlPr>
                    <w:rPr>
                      <w:rFonts w:ascii="Cambria Math" w:hAnsi="Cambria Math" w:cstheme="minorHAnsi"/>
                      <w:i/>
                      <w:lang w:val="es-AR"/>
                    </w:rPr>
                  </m:ctrlPr>
                </m:sSubSupPr>
                <m:e>
                  <m:r>
                    <w:rPr>
                      <w:rFonts w:ascii="Cambria Math" w:hAnsi="Cambria Math" w:cstheme="minorHAnsi"/>
                      <w:lang w:val="es-AR"/>
                    </w:rPr>
                    <m:t>T</m:t>
                  </m:r>
                </m:e>
                <m:sub>
                  <m:r>
                    <w:rPr>
                      <w:rFonts w:ascii="Cambria Math" w:hAnsi="Cambria Math" w:cstheme="minorHAnsi"/>
                      <w:lang w:val="es-AR"/>
                    </w:rPr>
                    <m:t>i</m:t>
                  </m:r>
                </m:sub>
                <m:sup>
                  <m:r>
                    <w:rPr>
                      <w:rFonts w:ascii="Cambria Math" w:hAnsi="Cambria Math" w:cstheme="minorHAnsi"/>
                      <w:lang w:val="es-AR"/>
                    </w:rPr>
                    <m:t>´</m:t>
                  </m:r>
                </m:sup>
              </m:sSubSup>
            </m:num>
            <m:den>
              <m:sSubSup>
                <m:sSubSupPr>
                  <m:ctrlPr>
                    <w:rPr>
                      <w:rFonts w:ascii="Cambria Math" w:hAnsi="Cambria Math" w:cstheme="minorHAnsi"/>
                      <w:i/>
                      <w:lang w:val="es-AR"/>
                    </w:rPr>
                  </m:ctrlPr>
                </m:sSubSupPr>
                <m:e>
                  <m:r>
                    <w:rPr>
                      <w:rFonts w:ascii="Cambria Math" w:hAnsi="Cambria Math" w:cstheme="minorHAnsi"/>
                      <w:lang w:val="es-AR"/>
                    </w:rPr>
                    <m:t>T</m:t>
                  </m:r>
                </m:e>
                <m:sub>
                  <m:r>
                    <w:rPr>
                      <w:rFonts w:ascii="Cambria Math" w:hAnsi="Cambria Math" w:cstheme="minorHAnsi"/>
                      <w:lang w:val="es-AR"/>
                    </w:rPr>
                    <m:t>i</m:t>
                  </m:r>
                </m:sub>
                <m:sup>
                  <m:r>
                    <w:rPr>
                      <w:rFonts w:ascii="Cambria Math" w:hAnsi="Cambria Math" w:cstheme="minorHAnsi"/>
                      <w:lang w:val="es-AR"/>
                    </w:rPr>
                    <m:t>*</m:t>
                  </m:r>
                </m:sup>
              </m:sSubSup>
            </m:den>
          </m:f>
          <m:r>
            <w:rPr>
              <w:rFonts w:ascii="Cambria Math" w:hAnsi="Cambria Math" w:cstheme="minorHAnsi"/>
              <w:lang w:val="es-AR"/>
            </w:rPr>
            <m:t xml:space="preserve">            </m:t>
          </m:r>
        </m:oMath>
      </m:oMathPara>
    </w:p>
    <w:p w14:paraId="085FAFA0" w14:textId="47881560" w:rsidR="00CC2466" w:rsidRPr="008B5D7F" w:rsidRDefault="00CC2466" w:rsidP="008B5D7F">
      <w:pPr>
        <w:spacing w:line="240" w:lineRule="auto"/>
        <w:rPr>
          <w:rFonts w:cstheme="minorHAnsi"/>
          <w:lang w:val="es-AR"/>
        </w:rPr>
      </w:pPr>
      <w:r w:rsidRPr="008B5D7F">
        <w:rPr>
          <w:rFonts w:cstheme="minorHAnsi"/>
          <w:lang w:val="es-AR"/>
        </w:rPr>
        <w:t>De esta forma, el IREF que utiliza</w:t>
      </w:r>
      <w:r w:rsidR="00D65380" w:rsidRPr="008B5D7F">
        <w:rPr>
          <w:rFonts w:cstheme="minorHAnsi"/>
          <w:lang w:val="es-AR"/>
        </w:rPr>
        <w:t>n</w:t>
      </w:r>
      <w:r w:rsidRPr="008B5D7F">
        <w:rPr>
          <w:rFonts w:cstheme="minorHAnsi"/>
          <w:lang w:val="es-AR"/>
        </w:rPr>
        <w:t xml:space="preserve"> en su trabajo difiere del denominado índice de fraude fiscal </w:t>
      </w:r>
      <w:r w:rsidR="00D65380" w:rsidRPr="008B5D7F">
        <w:rPr>
          <w:rFonts w:cstheme="minorHAnsi"/>
          <w:lang w:val="es-AR"/>
        </w:rPr>
        <w:t>mientras</w:t>
      </w:r>
      <w:r w:rsidRPr="008B5D7F">
        <w:rPr>
          <w:rFonts w:cstheme="minorHAnsi"/>
          <w:lang w:val="es-AR"/>
        </w:rPr>
        <w:t xml:space="preserve"> “para cada comunidad la razón T</w:t>
      </w:r>
      <w:r w:rsidRPr="008B5D7F">
        <w:rPr>
          <w:rFonts w:cstheme="minorHAnsi"/>
          <w:vertAlign w:val="subscript"/>
          <w:lang w:val="es-AR"/>
        </w:rPr>
        <w:t>i</w:t>
      </w:r>
      <w:r w:rsidRPr="008B5D7F">
        <w:rPr>
          <w:rFonts w:cstheme="minorHAnsi"/>
          <w:vertAlign w:val="superscript"/>
          <w:lang w:val="es-AR"/>
        </w:rPr>
        <w:t>´</w:t>
      </w:r>
      <w:r w:rsidRPr="008B5D7F">
        <w:rPr>
          <w:rFonts w:cstheme="minorHAnsi"/>
          <w:lang w:val="es-AR"/>
        </w:rPr>
        <w:t>/T</w:t>
      </w:r>
      <w:r w:rsidRPr="008B5D7F">
        <w:rPr>
          <w:rFonts w:cstheme="minorHAnsi"/>
          <w:vertAlign w:val="subscript"/>
          <w:lang w:val="es-AR"/>
        </w:rPr>
        <w:t>i</w:t>
      </w:r>
      <w:r w:rsidRPr="008B5D7F">
        <w:rPr>
          <w:rFonts w:cstheme="minorHAnsi"/>
          <w:vertAlign w:val="superscript"/>
          <w:lang w:val="es-AR"/>
        </w:rPr>
        <w:t>*</w:t>
      </w:r>
      <w:r w:rsidRPr="008B5D7F">
        <w:rPr>
          <w:rFonts w:cstheme="minorHAnsi"/>
          <w:lang w:val="es-AR"/>
        </w:rPr>
        <w:t xml:space="preserve"> sea distinta de la unidad”.</w:t>
      </w:r>
    </w:p>
    <w:p w14:paraId="6E078864" w14:textId="31B0BD62" w:rsidR="007E2F3B" w:rsidRPr="008B5D7F" w:rsidRDefault="00CC2466" w:rsidP="008B5D7F">
      <w:pPr>
        <w:spacing w:line="240" w:lineRule="auto"/>
        <w:rPr>
          <w:rFonts w:cstheme="minorHAnsi"/>
          <w:lang w:val="es-AR"/>
        </w:rPr>
      </w:pPr>
      <w:r w:rsidRPr="008B5D7F">
        <w:rPr>
          <w:rFonts w:cstheme="minorHAnsi"/>
          <w:lang w:val="es-AR"/>
        </w:rPr>
        <w:t>Dada la información estadística disponible T</w:t>
      </w:r>
      <w:r w:rsidRPr="008B5D7F">
        <w:rPr>
          <w:rFonts w:cstheme="minorHAnsi"/>
          <w:vertAlign w:val="subscript"/>
          <w:lang w:val="es-AR"/>
        </w:rPr>
        <w:t>i</w:t>
      </w:r>
      <w:r w:rsidRPr="008B5D7F">
        <w:rPr>
          <w:rFonts w:cstheme="minorHAnsi"/>
          <w:vertAlign w:val="superscript"/>
          <w:lang w:val="es-AR"/>
        </w:rPr>
        <w:t xml:space="preserve">´ </w:t>
      </w:r>
      <w:r w:rsidRPr="008B5D7F">
        <w:rPr>
          <w:rFonts w:cstheme="minorHAnsi"/>
          <w:lang w:val="es-AR"/>
        </w:rPr>
        <w:t>no puede ser medida, pero a partir de la última definición de IREF</w:t>
      </w:r>
      <w:r w:rsidRPr="008B5D7F">
        <w:rPr>
          <w:rFonts w:cstheme="minorHAnsi"/>
          <w:vertAlign w:val="subscript"/>
          <w:lang w:val="es-AR"/>
        </w:rPr>
        <w:t>i</w:t>
      </w:r>
      <w:r w:rsidRPr="008B5D7F">
        <w:rPr>
          <w:rFonts w:cstheme="minorHAnsi"/>
          <w:lang w:val="es-AR"/>
        </w:rPr>
        <w:t xml:space="preserve"> presentada,</w:t>
      </w:r>
      <w:r w:rsidR="00D65380" w:rsidRPr="008B5D7F">
        <w:rPr>
          <w:rFonts w:cstheme="minorHAnsi"/>
          <w:lang w:val="es-AR"/>
        </w:rPr>
        <w:t xml:space="preserve"> los autores</w:t>
      </w:r>
      <w:r w:rsidRPr="008B5D7F">
        <w:rPr>
          <w:rFonts w:cstheme="minorHAnsi"/>
          <w:lang w:val="es-AR"/>
        </w:rPr>
        <w:t xml:space="preserve"> identifica</w:t>
      </w:r>
      <w:r w:rsidR="00D65380" w:rsidRPr="008B5D7F">
        <w:rPr>
          <w:rFonts w:cstheme="minorHAnsi"/>
          <w:lang w:val="es-AR"/>
        </w:rPr>
        <w:t>n</w:t>
      </w:r>
      <w:r w:rsidRPr="008B5D7F">
        <w:rPr>
          <w:rFonts w:cstheme="minorHAnsi"/>
          <w:lang w:val="es-AR"/>
        </w:rPr>
        <w:t xml:space="preserve"> conceptualmente los posibles sesgos de utilizar IREF</w:t>
      </w:r>
      <w:r w:rsidRPr="008B5D7F">
        <w:rPr>
          <w:rFonts w:cstheme="minorHAnsi"/>
          <w:vertAlign w:val="subscript"/>
          <w:lang w:val="es-AR"/>
        </w:rPr>
        <w:t>i</w:t>
      </w:r>
      <w:r w:rsidRPr="008B5D7F">
        <w:rPr>
          <w:rFonts w:cstheme="minorHAnsi"/>
          <w:lang w:val="es-AR"/>
        </w:rPr>
        <w:t xml:space="preserve"> en vez de IFF</w:t>
      </w:r>
      <w:r w:rsidRPr="008B5D7F">
        <w:rPr>
          <w:rFonts w:cstheme="minorHAnsi"/>
          <w:vertAlign w:val="subscript"/>
          <w:lang w:val="es-AR"/>
        </w:rPr>
        <w:t>i</w:t>
      </w:r>
      <w:r w:rsidRPr="008B5D7F">
        <w:rPr>
          <w:rFonts w:cstheme="minorHAnsi"/>
          <w:lang w:val="es-AR"/>
        </w:rPr>
        <w:t>.</w:t>
      </w:r>
      <w:r w:rsidR="00395747" w:rsidRPr="008B5D7F">
        <w:rPr>
          <w:rFonts w:cstheme="minorHAnsi"/>
          <w:lang w:val="es-AR"/>
        </w:rPr>
        <w:t xml:space="preserve"> Enuncian que si T</w:t>
      </w:r>
      <w:r w:rsidR="00395747" w:rsidRPr="008B5D7F">
        <w:rPr>
          <w:rFonts w:cstheme="minorHAnsi"/>
          <w:vertAlign w:val="subscript"/>
          <w:lang w:val="es-AR"/>
        </w:rPr>
        <w:t>i</w:t>
      </w:r>
      <w:r w:rsidR="00395747" w:rsidRPr="008B5D7F">
        <w:rPr>
          <w:rFonts w:cstheme="minorHAnsi"/>
          <w:vertAlign w:val="superscript"/>
          <w:lang w:val="es-AR"/>
        </w:rPr>
        <w:t>´</w:t>
      </w:r>
      <w:r w:rsidR="00395747" w:rsidRPr="008B5D7F">
        <w:rPr>
          <w:rFonts w:cstheme="minorHAnsi"/>
          <w:lang w:val="es-AR"/>
        </w:rPr>
        <w:t>/T</w:t>
      </w:r>
      <w:r w:rsidR="00395747" w:rsidRPr="008B5D7F">
        <w:rPr>
          <w:rFonts w:cstheme="minorHAnsi"/>
          <w:vertAlign w:val="subscript"/>
          <w:lang w:val="es-AR"/>
        </w:rPr>
        <w:t>i</w:t>
      </w:r>
      <w:r w:rsidR="00395747" w:rsidRPr="008B5D7F">
        <w:rPr>
          <w:rFonts w:cstheme="minorHAnsi"/>
          <w:vertAlign w:val="superscript"/>
          <w:lang w:val="es-AR"/>
        </w:rPr>
        <w:t xml:space="preserve">* </w:t>
      </w:r>
      <w:r w:rsidR="00395747" w:rsidRPr="008B5D7F">
        <w:rPr>
          <w:rFonts w:cstheme="minorHAnsi"/>
          <w:lang w:val="es-AR"/>
        </w:rPr>
        <w:t xml:space="preserve">es distinto de 1, pero es constante para todas las comunidades, no es posible usar IREF para medir el fraude fiscal, pero si puede usarse como un “índice de cumplimiento fiscal relativo”. Sin embargo, la constancia para todas las comunidades no tiene porqué cumplirse en forma estricta (teniendo en cuenta la base estadística disponible </w:t>
      </w:r>
      <w:r w:rsidR="00B5184D" w:rsidRPr="008B5D7F">
        <w:rPr>
          <w:rFonts w:cstheme="minorHAnsi"/>
          <w:lang w:val="es-AR"/>
        </w:rPr>
        <w:t xml:space="preserve">para el caso </w:t>
      </w:r>
      <w:r w:rsidR="00AB7E79" w:rsidRPr="008B5D7F">
        <w:rPr>
          <w:rFonts w:cstheme="minorHAnsi"/>
          <w:lang w:val="es-AR"/>
        </w:rPr>
        <w:t>de las Comunidades Autónomas Españolas que estudian</w:t>
      </w:r>
      <w:r w:rsidR="00395747" w:rsidRPr="008B5D7F">
        <w:rPr>
          <w:rFonts w:cstheme="minorHAnsi"/>
          <w:lang w:val="es-AR"/>
        </w:rPr>
        <w:t>).</w:t>
      </w:r>
    </w:p>
    <w:p w14:paraId="2C6B7733" w14:textId="57A12F96" w:rsidR="00395747" w:rsidRPr="008B5D7F" w:rsidRDefault="00395747" w:rsidP="008B5D7F">
      <w:pPr>
        <w:spacing w:line="240" w:lineRule="auto"/>
        <w:rPr>
          <w:rFonts w:cstheme="minorHAnsi"/>
          <w:lang w:val="es-AR"/>
        </w:rPr>
      </w:pPr>
      <w:r w:rsidRPr="008B5D7F">
        <w:rPr>
          <w:rFonts w:cstheme="minorHAnsi"/>
          <w:lang w:val="es-AR"/>
        </w:rPr>
        <w:t>Por lo tanto, el supuesto empírico (no contrastable) sobre el que se basa su análisis es que T</w:t>
      </w:r>
      <w:r w:rsidRPr="008B5D7F">
        <w:rPr>
          <w:rFonts w:cstheme="minorHAnsi"/>
          <w:vertAlign w:val="subscript"/>
          <w:lang w:val="es-AR"/>
        </w:rPr>
        <w:t>i</w:t>
      </w:r>
      <w:r w:rsidRPr="008B5D7F">
        <w:rPr>
          <w:rFonts w:cstheme="minorHAnsi"/>
          <w:vertAlign w:val="superscript"/>
          <w:lang w:val="es-AR"/>
        </w:rPr>
        <w:t>´</w:t>
      </w:r>
      <w:r w:rsidRPr="008B5D7F">
        <w:rPr>
          <w:rFonts w:cstheme="minorHAnsi"/>
          <w:lang w:val="es-AR"/>
        </w:rPr>
        <w:t>/T</w:t>
      </w:r>
      <w:r w:rsidRPr="008B5D7F">
        <w:rPr>
          <w:rFonts w:cstheme="minorHAnsi"/>
          <w:vertAlign w:val="subscript"/>
          <w:lang w:val="es-AR"/>
        </w:rPr>
        <w:t>i</w:t>
      </w:r>
      <w:r w:rsidRPr="008B5D7F">
        <w:rPr>
          <w:rFonts w:cstheme="minorHAnsi"/>
          <w:vertAlign w:val="superscript"/>
          <w:lang w:val="es-AR"/>
        </w:rPr>
        <w:t>*</w:t>
      </w:r>
      <w:r w:rsidRPr="008B5D7F">
        <w:rPr>
          <w:rFonts w:cstheme="minorHAnsi"/>
          <w:lang w:val="es-AR"/>
        </w:rPr>
        <w:t xml:space="preserve"> es distinto de la unidad, lo que “los obliga” a interpretar los índices calculados como índices de esfuerzo fiscal relativo. Según sus palabras </w:t>
      </w:r>
      <w:r w:rsidRPr="008B5D7F">
        <w:rPr>
          <w:rFonts w:cstheme="minorHAnsi"/>
          <w:i/>
          <w:lang w:val="es-AR"/>
        </w:rPr>
        <w:t>“con todo, el ordenamiento de las distintas Comunidades que se obtiene con un índice relativo de esfuerzo fiscal puede considerarse, con las reservas más arriba señaladas, como una indicación aproximada de su grado de cumplimiento relativo”.</w:t>
      </w:r>
    </w:p>
    <w:p w14:paraId="549F1C48" w14:textId="736921DA" w:rsidR="00F17261" w:rsidRPr="008B5D7F" w:rsidRDefault="0077356D" w:rsidP="00EE7062">
      <w:pPr>
        <w:spacing w:line="240" w:lineRule="auto"/>
        <w:rPr>
          <w:rFonts w:cstheme="minorHAnsi"/>
          <w:lang w:val="es-AR"/>
        </w:rPr>
      </w:pPr>
      <w:r w:rsidRPr="008B5D7F">
        <w:rPr>
          <w:rFonts w:cstheme="minorHAnsi"/>
          <w:lang w:val="es-AR"/>
        </w:rPr>
        <w:t>En su cálculo aplica</w:t>
      </w:r>
      <w:r w:rsidR="00395747" w:rsidRPr="008B5D7F">
        <w:rPr>
          <w:rFonts w:cstheme="minorHAnsi"/>
          <w:lang w:val="es-AR"/>
        </w:rPr>
        <w:t>n</w:t>
      </w:r>
      <w:r w:rsidRPr="008B5D7F">
        <w:rPr>
          <w:rFonts w:cstheme="minorHAnsi"/>
          <w:lang w:val="es-AR"/>
        </w:rPr>
        <w:t xml:space="preserve"> el índice a un solo impuesto, el IRPF</w:t>
      </w:r>
      <w:r w:rsidR="001E5207" w:rsidRPr="008B5D7F">
        <w:rPr>
          <w:rStyle w:val="Refdenotaalpie"/>
          <w:rFonts w:cstheme="minorHAnsi"/>
          <w:lang w:val="es-AR"/>
        </w:rPr>
        <w:footnoteReference w:id="2"/>
      </w:r>
      <w:r w:rsidR="001E5207" w:rsidRPr="008B5D7F">
        <w:rPr>
          <w:rFonts w:cstheme="minorHAnsi"/>
          <w:lang w:val="es-AR"/>
        </w:rPr>
        <w:t>, y plantea</w:t>
      </w:r>
      <w:r w:rsidR="00395747" w:rsidRPr="008B5D7F">
        <w:rPr>
          <w:rFonts w:cstheme="minorHAnsi"/>
          <w:lang w:val="es-AR"/>
        </w:rPr>
        <w:t>n</w:t>
      </w:r>
      <w:r w:rsidR="001E5207" w:rsidRPr="008B5D7F">
        <w:rPr>
          <w:rFonts w:cstheme="minorHAnsi"/>
          <w:lang w:val="es-AR"/>
        </w:rPr>
        <w:t xml:space="preserve"> que las alternativas de la medición concreta surgen de la definición que se le </w:t>
      </w:r>
      <w:r w:rsidR="00082C0E" w:rsidRPr="008B5D7F">
        <w:rPr>
          <w:rFonts w:cstheme="minorHAnsi"/>
          <w:lang w:val="es-AR"/>
        </w:rPr>
        <w:t>dé</w:t>
      </w:r>
      <w:r w:rsidR="001E5207" w:rsidRPr="008B5D7F">
        <w:rPr>
          <w:rFonts w:cstheme="minorHAnsi"/>
          <w:lang w:val="es-AR"/>
        </w:rPr>
        <w:t xml:space="preserve"> a la recaudación estándar T</w:t>
      </w:r>
      <w:r w:rsidR="001E5207" w:rsidRPr="008B5D7F">
        <w:rPr>
          <w:rFonts w:cstheme="minorHAnsi"/>
          <w:vertAlign w:val="subscript"/>
          <w:lang w:val="es-AR"/>
        </w:rPr>
        <w:t>i</w:t>
      </w:r>
      <w:r w:rsidR="001E5207" w:rsidRPr="008B5D7F">
        <w:rPr>
          <w:rFonts w:cstheme="minorHAnsi"/>
          <w:vertAlign w:val="superscript"/>
          <w:lang w:val="es-AR"/>
        </w:rPr>
        <w:t>*</w:t>
      </w:r>
      <w:r w:rsidR="001E5207" w:rsidRPr="008B5D7F">
        <w:rPr>
          <w:rFonts w:cstheme="minorHAnsi"/>
          <w:lang w:val="es-AR"/>
        </w:rPr>
        <w:t>. Propone</w:t>
      </w:r>
      <w:r w:rsidR="00395747" w:rsidRPr="008B5D7F">
        <w:rPr>
          <w:rFonts w:cstheme="minorHAnsi"/>
          <w:lang w:val="es-AR"/>
        </w:rPr>
        <w:t>n,</w:t>
      </w:r>
      <w:r w:rsidR="001E5207" w:rsidRPr="008B5D7F">
        <w:rPr>
          <w:rFonts w:cstheme="minorHAnsi"/>
          <w:lang w:val="es-AR"/>
        </w:rPr>
        <w:t xml:space="preserve"> para llegar a la definición</w:t>
      </w:r>
      <w:r w:rsidR="00395747" w:rsidRPr="008B5D7F">
        <w:rPr>
          <w:rFonts w:cstheme="minorHAnsi"/>
          <w:lang w:val="es-AR"/>
        </w:rPr>
        <w:t>,</w:t>
      </w:r>
      <w:r w:rsidR="001E5207" w:rsidRPr="008B5D7F">
        <w:rPr>
          <w:rFonts w:cstheme="minorHAnsi"/>
          <w:lang w:val="es-AR"/>
        </w:rPr>
        <w:t xml:space="preserve"> preguntarse </w:t>
      </w:r>
      <w:r w:rsidR="001E5207" w:rsidRPr="008B5D7F">
        <w:rPr>
          <w:rFonts w:cstheme="minorHAnsi"/>
          <w:i/>
          <w:lang w:val="es-AR"/>
        </w:rPr>
        <w:t>“¿Cuánto debería recaudarse por IRPF en la Comunidad i, para un determinado marco legal y para una gestión uniforme, si en el territorio de dicha Comunidad el cumplimiento fiscal de este impuesto fuera en alguna medida el estándar?”</w:t>
      </w:r>
      <w:r w:rsidR="00F17261" w:rsidRPr="008B5D7F">
        <w:rPr>
          <w:rFonts w:cstheme="minorHAnsi"/>
          <w:lang w:val="es-AR"/>
        </w:rPr>
        <w:t>.</w:t>
      </w:r>
      <w:r w:rsidR="00EE7062">
        <w:rPr>
          <w:rFonts w:cstheme="minorHAnsi"/>
          <w:lang w:val="es-AR"/>
        </w:rPr>
        <w:t xml:space="preserve"> Los autores desarrollan</w:t>
      </w:r>
      <w:r w:rsidR="00CE3A9D" w:rsidRPr="008B5D7F">
        <w:rPr>
          <w:rFonts w:cstheme="minorHAnsi"/>
          <w:lang w:val="es-AR"/>
        </w:rPr>
        <w:t xml:space="preserve"> cuatro índices que </w:t>
      </w:r>
      <w:r w:rsidR="00EE7062">
        <w:rPr>
          <w:rFonts w:cstheme="minorHAnsi"/>
          <w:lang w:val="es-AR"/>
        </w:rPr>
        <w:t>consideran</w:t>
      </w:r>
      <w:r w:rsidR="00CE3A9D" w:rsidRPr="008B5D7F">
        <w:rPr>
          <w:rFonts w:cstheme="minorHAnsi"/>
          <w:lang w:val="es-AR"/>
        </w:rPr>
        <w:t xml:space="preserve"> son los criterios más razonables y </w:t>
      </w:r>
      <w:r w:rsidR="006309EA" w:rsidRPr="008B5D7F">
        <w:rPr>
          <w:rFonts w:cstheme="minorHAnsi"/>
          <w:lang w:val="es-AR"/>
        </w:rPr>
        <w:t>factibles de cálculo</w:t>
      </w:r>
      <w:r w:rsidR="00F27CAB" w:rsidRPr="008B5D7F">
        <w:rPr>
          <w:rFonts w:cstheme="minorHAnsi"/>
          <w:lang w:val="es-AR"/>
        </w:rPr>
        <w:t xml:space="preserve"> </w:t>
      </w:r>
      <w:r w:rsidR="00CE3A9D" w:rsidRPr="008B5D7F">
        <w:rPr>
          <w:rFonts w:cstheme="minorHAnsi"/>
          <w:lang w:val="es-AR"/>
        </w:rPr>
        <w:t>a nivel empírico</w:t>
      </w:r>
      <w:r w:rsidR="00D26E96" w:rsidRPr="008B5D7F">
        <w:rPr>
          <w:rFonts w:cstheme="minorHAnsi"/>
          <w:lang w:val="es-AR"/>
        </w:rPr>
        <w:t xml:space="preserve">. El primero </w:t>
      </w:r>
      <w:r w:rsidR="005D3343" w:rsidRPr="008B5D7F">
        <w:rPr>
          <w:rFonts w:cstheme="minorHAnsi"/>
          <w:lang w:val="es-AR"/>
        </w:rPr>
        <w:t>es el IREF1 (</w:t>
      </w:r>
      <w:r w:rsidR="00D26E96" w:rsidRPr="008B5D7F">
        <w:rPr>
          <w:rFonts w:cstheme="minorHAnsi"/>
          <w:lang w:val="es-AR"/>
        </w:rPr>
        <w:t>Tipo medio global y Valor Añadido Bruto</w:t>
      </w:r>
      <w:r w:rsidR="005D3343" w:rsidRPr="008B5D7F">
        <w:rPr>
          <w:rFonts w:cstheme="minorHAnsi"/>
          <w:lang w:val="es-AR"/>
        </w:rPr>
        <w:t>)</w:t>
      </w:r>
      <w:r w:rsidR="00D26E96" w:rsidRPr="008B5D7F">
        <w:rPr>
          <w:rFonts w:cstheme="minorHAnsi"/>
          <w:lang w:val="es-AR"/>
        </w:rPr>
        <w:t>:</w:t>
      </w:r>
    </w:p>
    <w:p w14:paraId="06ADC031" w14:textId="5847D594" w:rsidR="00D26E96" w:rsidRPr="008B5D7F" w:rsidRDefault="00D26E96" w:rsidP="008B5D7F">
      <w:pPr>
        <w:spacing w:line="240" w:lineRule="auto"/>
        <w:rPr>
          <w:rFonts w:cstheme="minorHAnsi"/>
          <w:lang w:val="es-AR"/>
        </w:rPr>
      </w:pPr>
      <w:r w:rsidRPr="008B5D7F">
        <w:rPr>
          <w:rFonts w:cstheme="minorHAnsi"/>
          <w:lang w:val="es-AR"/>
        </w:rPr>
        <w:t>Denominan B1</w:t>
      </w:r>
      <w:r w:rsidRPr="008B5D7F">
        <w:rPr>
          <w:rFonts w:cstheme="minorHAnsi"/>
          <w:vertAlign w:val="subscript"/>
          <w:lang w:val="es-AR"/>
        </w:rPr>
        <w:t>i</w:t>
      </w:r>
      <w:r w:rsidRPr="008B5D7F">
        <w:rPr>
          <w:rFonts w:cstheme="minorHAnsi"/>
          <w:vertAlign w:val="superscript"/>
          <w:lang w:val="es-AR"/>
        </w:rPr>
        <w:t>*</w:t>
      </w:r>
      <w:r w:rsidRPr="008B5D7F">
        <w:rPr>
          <w:rFonts w:cstheme="minorHAnsi"/>
          <w:lang w:val="es-AR"/>
        </w:rPr>
        <w:t xml:space="preserve"> a la base imponible estándar que se deriva de este criterio, </w:t>
      </w:r>
      <w:r w:rsidR="00F27CAB" w:rsidRPr="008B5D7F">
        <w:rPr>
          <w:rFonts w:cstheme="minorHAnsi"/>
          <w:lang w:val="es-AR"/>
        </w:rPr>
        <w:t xml:space="preserve">obteniendo para </w:t>
      </w:r>
      <w:r w:rsidRPr="008B5D7F">
        <w:rPr>
          <w:rFonts w:cstheme="minorHAnsi"/>
          <w:lang w:val="es-AR"/>
        </w:rPr>
        <w:t>la Comunidad i:</w:t>
      </w:r>
    </w:p>
    <w:p w14:paraId="52B2DED5" w14:textId="58D11029" w:rsidR="00D26E96" w:rsidRPr="008B5D7F" w:rsidRDefault="00EE621F" w:rsidP="008B5D7F">
      <w:pPr>
        <w:spacing w:line="240" w:lineRule="auto"/>
        <w:rPr>
          <w:rFonts w:cstheme="minorHAnsi"/>
          <w:lang w:val="es-AR"/>
        </w:rPr>
      </w:pPr>
      <m:oMathPara>
        <m:oMath>
          <m:sSubSup>
            <m:sSubSupPr>
              <m:ctrlPr>
                <w:rPr>
                  <w:rFonts w:ascii="Cambria Math" w:hAnsi="Cambria Math" w:cstheme="minorHAnsi"/>
                  <w:i/>
                  <w:lang w:val="es-AR"/>
                </w:rPr>
              </m:ctrlPr>
            </m:sSubSupPr>
            <m:e>
              <m:r>
                <w:rPr>
                  <w:rFonts w:ascii="Cambria Math" w:hAnsi="Cambria Math" w:cstheme="minorHAnsi"/>
                  <w:lang w:val="es-AR"/>
                </w:rPr>
                <m:t>B1</m:t>
              </m:r>
            </m:e>
            <m:sub>
              <m:r>
                <w:rPr>
                  <w:rFonts w:ascii="Cambria Math" w:hAnsi="Cambria Math" w:cstheme="minorHAnsi"/>
                  <w:lang w:val="es-AR"/>
                </w:rPr>
                <m:t>i</m:t>
              </m:r>
            </m:sub>
            <m:sup>
              <m:r>
                <w:rPr>
                  <w:rFonts w:ascii="Cambria Math" w:hAnsi="Cambria Math" w:cstheme="minorHAnsi"/>
                  <w:lang w:val="es-AR"/>
                </w:rPr>
                <m:t>*</m:t>
              </m:r>
            </m:sup>
          </m:sSubSup>
          <m:r>
            <w:rPr>
              <w:rFonts w:ascii="Cambria Math" w:hAnsi="Cambria Math" w:cstheme="minorHAnsi"/>
              <w:lang w:val="es-AR"/>
            </w:rPr>
            <m:t>=</m:t>
          </m:r>
          <m:f>
            <m:fPr>
              <m:ctrlPr>
                <w:rPr>
                  <w:rFonts w:ascii="Cambria Math" w:hAnsi="Cambria Math" w:cstheme="minorHAnsi"/>
                  <w:i/>
                  <w:lang w:val="es-AR"/>
                </w:rPr>
              </m:ctrlPr>
            </m:fPr>
            <m:num>
              <m:r>
                <w:rPr>
                  <w:rFonts w:ascii="Cambria Math" w:hAnsi="Cambria Math" w:cstheme="minorHAnsi"/>
                  <w:lang w:val="es-AR"/>
                </w:rPr>
                <m:t>B</m:t>
              </m:r>
            </m:num>
            <m:den>
              <m:r>
                <w:rPr>
                  <w:rFonts w:ascii="Cambria Math" w:hAnsi="Cambria Math" w:cstheme="minorHAnsi"/>
                  <w:lang w:val="es-AR"/>
                </w:rPr>
                <m:t>V</m:t>
              </m:r>
            </m:den>
          </m:f>
          <m:sSub>
            <m:sSubPr>
              <m:ctrlPr>
                <w:rPr>
                  <w:rFonts w:ascii="Cambria Math" w:hAnsi="Cambria Math" w:cstheme="minorHAnsi"/>
                  <w:i/>
                  <w:lang w:val="es-AR"/>
                </w:rPr>
              </m:ctrlPr>
            </m:sSubPr>
            <m:e>
              <m:r>
                <w:rPr>
                  <w:rFonts w:ascii="Cambria Math" w:hAnsi="Cambria Math" w:cstheme="minorHAnsi"/>
                  <w:lang w:val="es-AR"/>
                </w:rPr>
                <m:t>V</m:t>
              </m:r>
            </m:e>
            <m:sub>
              <m:r>
                <w:rPr>
                  <w:rFonts w:ascii="Cambria Math" w:hAnsi="Cambria Math" w:cstheme="minorHAnsi"/>
                  <w:lang w:val="es-AR"/>
                </w:rPr>
                <m:t xml:space="preserve">i  </m:t>
              </m:r>
            </m:sub>
          </m:sSub>
        </m:oMath>
      </m:oMathPara>
    </w:p>
    <w:p w14:paraId="331B72B6" w14:textId="256169E8" w:rsidR="00D26E96" w:rsidRPr="008B5D7F" w:rsidRDefault="00D26E96" w:rsidP="008B5D7F">
      <w:pPr>
        <w:spacing w:line="240" w:lineRule="auto"/>
        <w:rPr>
          <w:rFonts w:cstheme="minorHAnsi"/>
          <w:lang w:val="es-AR"/>
        </w:rPr>
      </w:pPr>
      <w:r w:rsidRPr="008B5D7F">
        <w:rPr>
          <w:rFonts w:cstheme="minorHAnsi"/>
          <w:lang w:val="es-AR"/>
        </w:rPr>
        <w:t>Donde V y V</w:t>
      </w:r>
      <w:r w:rsidRPr="008B5D7F">
        <w:rPr>
          <w:rFonts w:cstheme="minorHAnsi"/>
          <w:vertAlign w:val="subscript"/>
          <w:lang w:val="es-AR"/>
        </w:rPr>
        <w:t>i</w:t>
      </w:r>
      <w:r w:rsidR="00F27CAB" w:rsidRPr="008B5D7F">
        <w:rPr>
          <w:rFonts w:cstheme="minorHAnsi"/>
          <w:lang w:val="es-AR"/>
        </w:rPr>
        <w:t xml:space="preserve"> son </w:t>
      </w:r>
      <w:r w:rsidRPr="008B5D7F">
        <w:rPr>
          <w:rFonts w:cstheme="minorHAnsi"/>
          <w:lang w:val="es-AR"/>
        </w:rPr>
        <w:t>producto del conjunto del territorio y de la Comunidad i</w:t>
      </w:r>
      <w:r w:rsidR="00F27CAB" w:rsidRPr="008B5D7F">
        <w:rPr>
          <w:rFonts w:cstheme="minorHAnsi"/>
          <w:lang w:val="es-AR"/>
        </w:rPr>
        <w:t xml:space="preserve"> respectivamente, </w:t>
      </w:r>
      <w:r w:rsidRPr="008B5D7F">
        <w:rPr>
          <w:rFonts w:cstheme="minorHAnsi"/>
          <w:lang w:val="es-AR"/>
        </w:rPr>
        <w:t>y B es la base imponible declarada del conjunto del territorio.</w:t>
      </w:r>
    </w:p>
    <w:p w14:paraId="63D36889" w14:textId="71D05EAE" w:rsidR="007E2F3B" w:rsidRPr="008B5D7F" w:rsidRDefault="000A6264" w:rsidP="00EE7062">
      <w:pPr>
        <w:spacing w:line="240" w:lineRule="auto"/>
        <w:rPr>
          <w:rFonts w:cstheme="minorHAnsi"/>
          <w:lang w:val="es-AR"/>
        </w:rPr>
      </w:pPr>
      <w:r w:rsidRPr="008B5D7F">
        <w:rPr>
          <w:rFonts w:cstheme="minorHAnsi"/>
          <w:i/>
          <w:lang w:val="es-AR"/>
        </w:rPr>
        <w:t>“Con respecto al tipo medio estándar, la alternativa que este índice incorpora consiste en ignorar la progresividad del impuesto”,</w:t>
      </w:r>
      <w:r w:rsidRPr="008B5D7F">
        <w:rPr>
          <w:rFonts w:cstheme="minorHAnsi"/>
          <w:lang w:val="es-AR"/>
        </w:rPr>
        <w:t xml:space="preserve"> </w:t>
      </w:r>
      <w:r w:rsidR="00EE7062">
        <w:rPr>
          <w:rFonts w:cstheme="minorHAnsi"/>
          <w:lang w:val="es-AR"/>
        </w:rPr>
        <w:t xml:space="preserve">y por tanto el índice calculado </w:t>
      </w:r>
      <w:r w:rsidRPr="008B5D7F">
        <w:rPr>
          <w:rFonts w:cstheme="minorHAnsi"/>
          <w:lang w:val="es-AR"/>
        </w:rPr>
        <w:t>vendría a ser la relación entre la recaudación relativa y el producto relativo.</w:t>
      </w:r>
    </w:p>
    <w:p w14:paraId="10AD3D06" w14:textId="3E4C9FCF" w:rsidR="00F27CAB" w:rsidRPr="008B5D7F" w:rsidRDefault="00F27CAB" w:rsidP="008B5D7F">
      <w:pPr>
        <w:spacing w:line="240" w:lineRule="auto"/>
        <w:rPr>
          <w:rFonts w:cstheme="minorHAnsi"/>
          <w:lang w:val="es-AR"/>
        </w:rPr>
      </w:pPr>
      <w:r w:rsidRPr="008B5D7F">
        <w:rPr>
          <w:rFonts w:cstheme="minorHAnsi"/>
          <w:lang w:val="es-AR"/>
        </w:rPr>
        <w:t>A continuación los autores mencionan que los principales problemas que presenta este índice son los referidos al criterio macroeconómico usado para distribuir la base global declarada, así como también el tratamiento que hace a la progresividad.</w:t>
      </w:r>
    </w:p>
    <w:p w14:paraId="0018DA8E" w14:textId="3DE289BF" w:rsidR="00286153" w:rsidRPr="008B5D7F" w:rsidRDefault="00607B91" w:rsidP="008B5D7F">
      <w:pPr>
        <w:spacing w:line="240" w:lineRule="auto"/>
        <w:rPr>
          <w:rFonts w:cstheme="minorHAnsi"/>
          <w:lang w:val="es-AR"/>
        </w:rPr>
      </w:pPr>
      <w:r w:rsidRPr="008B5D7F">
        <w:rPr>
          <w:rFonts w:cstheme="minorHAnsi"/>
          <w:lang w:val="es-AR"/>
        </w:rPr>
        <w:lastRenderedPageBreak/>
        <w:t>El siguiente índice que define</w:t>
      </w:r>
      <w:r w:rsidR="00F27CAB" w:rsidRPr="008B5D7F">
        <w:rPr>
          <w:rFonts w:cstheme="minorHAnsi"/>
          <w:lang w:val="es-AR"/>
        </w:rPr>
        <w:t>n</w:t>
      </w:r>
      <w:r w:rsidR="005D3343" w:rsidRPr="008B5D7F">
        <w:rPr>
          <w:rFonts w:cstheme="minorHAnsi"/>
          <w:lang w:val="es-AR"/>
        </w:rPr>
        <w:t xml:space="preserve"> es IREF2</w:t>
      </w:r>
      <w:r w:rsidRPr="008B5D7F">
        <w:rPr>
          <w:rFonts w:cstheme="minorHAnsi"/>
          <w:lang w:val="es-AR"/>
        </w:rPr>
        <w:t xml:space="preserve"> </w:t>
      </w:r>
      <w:r w:rsidR="005D3343" w:rsidRPr="008B5D7F">
        <w:rPr>
          <w:rFonts w:cstheme="minorHAnsi"/>
          <w:lang w:val="es-AR"/>
        </w:rPr>
        <w:t>(</w:t>
      </w:r>
      <w:r w:rsidR="00106137" w:rsidRPr="008B5D7F">
        <w:rPr>
          <w:rFonts w:cstheme="minorHAnsi"/>
          <w:lang w:val="es-AR"/>
        </w:rPr>
        <w:t>t</w:t>
      </w:r>
      <w:r w:rsidRPr="008B5D7F">
        <w:rPr>
          <w:rFonts w:cstheme="minorHAnsi"/>
          <w:lang w:val="es-AR"/>
        </w:rPr>
        <w:t>ip</w:t>
      </w:r>
      <w:r w:rsidR="005D3343" w:rsidRPr="008B5D7F">
        <w:rPr>
          <w:rFonts w:cstheme="minorHAnsi"/>
          <w:lang w:val="es-AR"/>
        </w:rPr>
        <w:t>o medio global y renta personal)</w:t>
      </w:r>
      <w:r w:rsidR="00891767" w:rsidRPr="008B5D7F">
        <w:rPr>
          <w:rFonts w:cstheme="minorHAnsi"/>
          <w:lang w:val="es-AR"/>
        </w:rPr>
        <w:t xml:space="preserve"> que </w:t>
      </w:r>
      <w:r w:rsidRPr="008B5D7F">
        <w:rPr>
          <w:rFonts w:cstheme="minorHAnsi"/>
          <w:lang w:val="es-AR"/>
        </w:rPr>
        <w:t xml:space="preserve">busca corregir uno de los problemas del IREF1. En el índice anterior, </w:t>
      </w:r>
      <w:r w:rsidRPr="008B5D7F">
        <w:rPr>
          <w:rFonts w:cstheme="minorHAnsi"/>
          <w:i/>
          <w:lang w:val="es-AR"/>
        </w:rPr>
        <w:t>“el Valor Añadido Bruto no incluye algunas rentas que sí se integran en la definición legal de la base imponible del IRPF y sí incluye otras que no se contemplan en dicha base”</w:t>
      </w:r>
      <w:r w:rsidRPr="008B5D7F">
        <w:rPr>
          <w:rFonts w:cstheme="minorHAnsi"/>
          <w:lang w:val="es-AR"/>
        </w:rPr>
        <w:t>. Si estas rentas se encuentran presentes</w:t>
      </w:r>
      <w:r w:rsidR="00106137" w:rsidRPr="008B5D7F">
        <w:rPr>
          <w:rFonts w:cstheme="minorHAnsi"/>
          <w:lang w:val="es-AR"/>
        </w:rPr>
        <w:t>,</w:t>
      </w:r>
      <w:r w:rsidRPr="008B5D7F">
        <w:rPr>
          <w:rFonts w:cstheme="minorHAnsi"/>
          <w:lang w:val="es-AR"/>
        </w:rPr>
        <w:t xml:space="preserve"> en términos relativos</w:t>
      </w:r>
      <w:r w:rsidR="00106137" w:rsidRPr="008B5D7F">
        <w:rPr>
          <w:rFonts w:cstheme="minorHAnsi"/>
          <w:lang w:val="es-AR"/>
        </w:rPr>
        <w:t>,</w:t>
      </w:r>
      <w:r w:rsidRPr="008B5D7F">
        <w:rPr>
          <w:rFonts w:cstheme="minorHAnsi"/>
          <w:lang w:val="es-AR"/>
        </w:rPr>
        <w:t xml:space="preserve"> en</w:t>
      </w:r>
      <w:r w:rsidR="00891767" w:rsidRPr="008B5D7F">
        <w:rPr>
          <w:rFonts w:cstheme="minorHAnsi"/>
          <w:lang w:val="es-AR"/>
        </w:rPr>
        <w:t xml:space="preserve"> menor medida en unas c</w:t>
      </w:r>
      <w:r w:rsidRPr="008B5D7F">
        <w:rPr>
          <w:rFonts w:cstheme="minorHAnsi"/>
          <w:lang w:val="es-AR"/>
        </w:rPr>
        <w:t xml:space="preserve">omunidades que en otras, </w:t>
      </w:r>
      <w:r w:rsidRPr="008B5D7F">
        <w:rPr>
          <w:rFonts w:cstheme="minorHAnsi"/>
          <w:i/>
          <w:lang w:val="es-AR"/>
        </w:rPr>
        <w:t>“la distribución del producto puede no reflejar significativamente la distribución de la base imponible”.</w:t>
      </w:r>
    </w:p>
    <w:p w14:paraId="727434BE" w14:textId="2DF2641B" w:rsidR="00607B91" w:rsidRPr="008B5D7F" w:rsidRDefault="005D3343" w:rsidP="00EE7062">
      <w:pPr>
        <w:spacing w:line="240" w:lineRule="auto"/>
        <w:rPr>
          <w:rFonts w:cstheme="minorHAnsi"/>
          <w:lang w:val="es-AR"/>
        </w:rPr>
      </w:pPr>
      <w:r w:rsidRPr="008B5D7F">
        <w:rPr>
          <w:rFonts w:cstheme="minorHAnsi"/>
          <w:lang w:val="es-AR"/>
        </w:rPr>
        <w:t>El IREF3</w:t>
      </w:r>
      <w:r w:rsidR="00607B91" w:rsidRPr="008B5D7F">
        <w:rPr>
          <w:rFonts w:cstheme="minorHAnsi"/>
          <w:lang w:val="es-AR"/>
        </w:rPr>
        <w:t xml:space="preserve"> </w:t>
      </w:r>
      <w:r w:rsidRPr="008B5D7F">
        <w:rPr>
          <w:rFonts w:cstheme="minorHAnsi"/>
          <w:lang w:val="es-AR"/>
        </w:rPr>
        <w:t>(</w:t>
      </w:r>
      <w:r w:rsidR="009D5181" w:rsidRPr="008B5D7F">
        <w:rPr>
          <w:rFonts w:cstheme="minorHAnsi"/>
          <w:lang w:val="es-AR"/>
        </w:rPr>
        <w:t>t</w:t>
      </w:r>
      <w:r w:rsidR="00607B91" w:rsidRPr="008B5D7F">
        <w:rPr>
          <w:rFonts w:cstheme="minorHAnsi"/>
          <w:lang w:val="es-AR"/>
        </w:rPr>
        <w:t>ipo medio observado y renta personal</w:t>
      </w:r>
      <w:r w:rsidRPr="008B5D7F">
        <w:rPr>
          <w:rFonts w:cstheme="minorHAnsi"/>
          <w:lang w:val="es-AR"/>
        </w:rPr>
        <w:t>)</w:t>
      </w:r>
      <w:r w:rsidR="00607B91" w:rsidRPr="008B5D7F">
        <w:rPr>
          <w:rFonts w:cstheme="minorHAnsi"/>
          <w:lang w:val="es-AR"/>
        </w:rPr>
        <w:t xml:space="preserve"> busca tratar la progresividad del impuesto (obviado en IREF1 e IREF2). En los casos anteriores, el considerar un tipo medio teórico constante cuando el impuesto es progresivo </w:t>
      </w:r>
      <w:r w:rsidR="00607B91" w:rsidRPr="008B5D7F">
        <w:rPr>
          <w:rFonts w:cstheme="minorHAnsi"/>
          <w:i/>
          <w:lang w:val="es-AR"/>
        </w:rPr>
        <w:t>“exagera el esfuerzo fiscal de las Comunidades más ricas y subvalora el de las más pobres”</w:t>
      </w:r>
      <w:r w:rsidR="00607B91" w:rsidRPr="008B5D7F">
        <w:rPr>
          <w:rFonts w:cstheme="minorHAnsi"/>
          <w:lang w:val="es-AR"/>
        </w:rPr>
        <w:t>.</w:t>
      </w:r>
      <w:r w:rsidR="004F5D64" w:rsidRPr="008B5D7F">
        <w:rPr>
          <w:rFonts w:cstheme="minorHAnsi"/>
          <w:lang w:val="es-AR"/>
        </w:rPr>
        <w:t xml:space="preserve"> </w:t>
      </w:r>
      <w:r w:rsidR="00607B91" w:rsidRPr="008B5D7F">
        <w:rPr>
          <w:rFonts w:cstheme="minorHAnsi"/>
          <w:lang w:val="es-AR"/>
        </w:rPr>
        <w:t>Para tener en consideración la progresividad, define el tipo medio estándar como igual al tipo medio observado</w:t>
      </w:r>
      <w:r w:rsidR="00EE7062">
        <w:rPr>
          <w:rFonts w:cstheme="minorHAnsi"/>
          <w:lang w:val="es-AR"/>
        </w:rPr>
        <w:t xml:space="preserve">, definiendo el índice como </w:t>
      </w:r>
      <w:r w:rsidR="00607B91" w:rsidRPr="008B5D7F">
        <w:rPr>
          <w:rFonts w:cstheme="minorHAnsi"/>
          <w:lang w:val="es-AR"/>
        </w:rPr>
        <w:t>la relación entre la base imponible relativa de la Comunidad y s</w:t>
      </w:r>
      <w:r w:rsidR="004F5D64" w:rsidRPr="008B5D7F">
        <w:rPr>
          <w:rFonts w:cstheme="minorHAnsi"/>
          <w:lang w:val="es-AR"/>
        </w:rPr>
        <w:t>u</w:t>
      </w:r>
      <w:r w:rsidR="00607B91" w:rsidRPr="008B5D7F">
        <w:rPr>
          <w:rFonts w:cstheme="minorHAnsi"/>
          <w:lang w:val="es-AR"/>
        </w:rPr>
        <w:t xml:space="preserve"> renta relativa.</w:t>
      </w:r>
    </w:p>
    <w:p w14:paraId="4EF70929" w14:textId="6DD0127A" w:rsidR="00607B91" w:rsidRPr="008B5D7F" w:rsidRDefault="00F076E7" w:rsidP="008B5D7F">
      <w:pPr>
        <w:tabs>
          <w:tab w:val="right" w:pos="8129"/>
        </w:tabs>
        <w:spacing w:line="240" w:lineRule="auto"/>
        <w:rPr>
          <w:rFonts w:cstheme="minorHAnsi"/>
          <w:lang w:val="es-AR"/>
        </w:rPr>
      </w:pPr>
      <w:r w:rsidRPr="008B5D7F">
        <w:rPr>
          <w:rFonts w:cstheme="minorHAnsi"/>
          <w:lang w:val="es-AR"/>
        </w:rPr>
        <w:t>Según los autores:</w:t>
      </w:r>
    </w:p>
    <w:p w14:paraId="7321ABFE" w14:textId="34EC846E" w:rsidR="00F076E7" w:rsidRPr="008B5D7F" w:rsidRDefault="00F076E7" w:rsidP="008B5D7F">
      <w:pPr>
        <w:tabs>
          <w:tab w:val="right" w:pos="8129"/>
        </w:tabs>
        <w:spacing w:line="240" w:lineRule="auto"/>
        <w:ind w:left="709" w:right="709" w:firstLine="0"/>
        <w:rPr>
          <w:rFonts w:cstheme="minorHAnsi"/>
          <w:lang w:val="es-AR"/>
        </w:rPr>
      </w:pPr>
      <w:r w:rsidRPr="008B5D7F">
        <w:rPr>
          <w:rFonts w:cstheme="minorHAnsi"/>
          <w:lang w:val="es-AR"/>
        </w:rPr>
        <w:t>La forma en la que este índice toma en cuenta la progresividad del impuesto es ignorando los tipos medios tanto real como estándar y concentrándose en la distribución de las bases en relación a la distribución a la renta. El índice corrige el problema en la medida en que la progresividad del impuesto no incide en el valor del mismo, con independencia de cuál sea la riqueza relativa de la Comunidad. Lo único que ahora importa para evaluar su esfuerzo fiscal es la medida en la que su base relativa difiere de su renta relativa. (Zabalza</w:t>
      </w:r>
      <w:r w:rsidR="00D770D7" w:rsidRPr="008B5D7F">
        <w:rPr>
          <w:rFonts w:cstheme="minorHAnsi"/>
          <w:lang w:val="es-AR"/>
        </w:rPr>
        <w:t xml:space="preserve"> </w:t>
      </w:r>
      <w:r w:rsidR="00481D74" w:rsidRPr="008B5D7F">
        <w:rPr>
          <w:rFonts w:cstheme="minorHAnsi"/>
          <w:lang w:val="es-AR"/>
        </w:rPr>
        <w:t>et al., 1999</w:t>
      </w:r>
      <w:r w:rsidRPr="008B5D7F">
        <w:rPr>
          <w:rFonts w:cstheme="minorHAnsi"/>
          <w:lang w:val="es-AR"/>
        </w:rPr>
        <w:t>)</w:t>
      </w:r>
      <w:r w:rsidR="00D770D7" w:rsidRPr="008B5D7F">
        <w:rPr>
          <w:rFonts w:cstheme="minorHAnsi"/>
          <w:lang w:val="es-AR"/>
        </w:rPr>
        <w:t>.</w:t>
      </w:r>
    </w:p>
    <w:p w14:paraId="095098F1" w14:textId="49266572" w:rsidR="00F076E7" w:rsidRPr="008B5D7F" w:rsidRDefault="00F076E7" w:rsidP="008B5D7F">
      <w:pPr>
        <w:tabs>
          <w:tab w:val="right" w:pos="8129"/>
        </w:tabs>
        <w:spacing w:line="240" w:lineRule="auto"/>
        <w:rPr>
          <w:rFonts w:cstheme="minorHAnsi"/>
          <w:lang w:val="es-AR"/>
        </w:rPr>
      </w:pPr>
      <w:r w:rsidRPr="008B5D7F">
        <w:rPr>
          <w:rFonts w:cstheme="minorHAnsi"/>
          <w:lang w:val="es-AR"/>
        </w:rPr>
        <w:t>Una característica distintiva de IREF3 respecto de IREF1 e IREF2, es que presenta menor dispersión</w:t>
      </w:r>
      <w:r w:rsidR="00E16E01" w:rsidRPr="008B5D7F">
        <w:rPr>
          <w:rFonts w:cstheme="minorHAnsi"/>
          <w:lang w:val="es-AR"/>
        </w:rPr>
        <w:t>, respecto a IREF4 es su gran sencillez de cálculo.</w:t>
      </w:r>
    </w:p>
    <w:p w14:paraId="2A4B283D" w14:textId="19DD4D75" w:rsidR="00F076E7" w:rsidRPr="008B5D7F" w:rsidRDefault="00E16E01" w:rsidP="008B5D7F">
      <w:pPr>
        <w:tabs>
          <w:tab w:val="right" w:pos="8129"/>
        </w:tabs>
        <w:spacing w:line="240" w:lineRule="auto"/>
        <w:rPr>
          <w:rFonts w:cstheme="minorHAnsi"/>
          <w:lang w:val="es-AR"/>
        </w:rPr>
      </w:pPr>
      <w:r w:rsidRPr="008B5D7F">
        <w:rPr>
          <w:rFonts w:cstheme="minorHAnsi"/>
          <w:lang w:val="es-AR"/>
        </w:rPr>
        <w:t xml:space="preserve">El último </w:t>
      </w:r>
      <w:r w:rsidR="005D3343" w:rsidRPr="008B5D7F">
        <w:rPr>
          <w:rFonts w:cstheme="minorHAnsi"/>
          <w:lang w:val="es-AR"/>
        </w:rPr>
        <w:t>índice relativo de esfuerzo fiscal</w:t>
      </w:r>
      <w:r w:rsidRPr="008B5D7F">
        <w:rPr>
          <w:rFonts w:cstheme="minorHAnsi"/>
          <w:lang w:val="es-AR"/>
        </w:rPr>
        <w:t xml:space="preserve"> propue</w:t>
      </w:r>
      <w:r w:rsidR="005D3343" w:rsidRPr="008B5D7F">
        <w:rPr>
          <w:rFonts w:cstheme="minorHAnsi"/>
          <w:lang w:val="es-AR"/>
        </w:rPr>
        <w:t>sto por los autores es el IREF4</w:t>
      </w:r>
      <w:r w:rsidRPr="008B5D7F">
        <w:rPr>
          <w:rFonts w:cstheme="minorHAnsi"/>
          <w:lang w:val="es-AR"/>
        </w:rPr>
        <w:t xml:space="preserve"> </w:t>
      </w:r>
      <w:r w:rsidR="005D3343" w:rsidRPr="008B5D7F">
        <w:rPr>
          <w:rFonts w:cstheme="minorHAnsi"/>
          <w:lang w:val="es-AR"/>
        </w:rPr>
        <w:t>(t</w:t>
      </w:r>
      <w:r w:rsidRPr="008B5D7F">
        <w:rPr>
          <w:rFonts w:cstheme="minorHAnsi"/>
          <w:lang w:val="es-AR"/>
        </w:rPr>
        <w:t>ipo medio normativo y renta personal</w:t>
      </w:r>
      <w:r w:rsidR="005D3343" w:rsidRPr="008B5D7F">
        <w:rPr>
          <w:rFonts w:cstheme="minorHAnsi"/>
          <w:lang w:val="es-AR"/>
        </w:rPr>
        <w:t>)</w:t>
      </w:r>
      <w:r w:rsidRPr="008B5D7F">
        <w:rPr>
          <w:rFonts w:cstheme="minorHAnsi"/>
          <w:lang w:val="es-AR"/>
        </w:rPr>
        <w:t>. En el caso de que el imp</w:t>
      </w:r>
      <w:r w:rsidR="004F5D64" w:rsidRPr="008B5D7F">
        <w:rPr>
          <w:rFonts w:cstheme="minorHAnsi"/>
          <w:lang w:val="es-AR"/>
        </w:rPr>
        <w:t>uesto a trabajar sea progresivo</w:t>
      </w:r>
      <w:r w:rsidRPr="008B5D7F">
        <w:rPr>
          <w:rFonts w:cstheme="minorHAnsi"/>
          <w:lang w:val="es-AR"/>
        </w:rPr>
        <w:t xml:space="preserve"> el IREF3 no resuelve el problema de forma completamente satisfactoria, pero </w:t>
      </w:r>
      <w:r w:rsidRPr="008B5D7F">
        <w:rPr>
          <w:rFonts w:cstheme="minorHAnsi"/>
          <w:i/>
          <w:lang w:val="es-AR"/>
        </w:rPr>
        <w:t>“si el impuesto fuera proporcional, la base imponible declarada (voluntariamente y/o por medidas de gestión) y su relación con la base estándar, nos da toda la información necesaria para calcular el esfuerzo fiscal”.</w:t>
      </w:r>
    </w:p>
    <w:p w14:paraId="2089C606" w14:textId="6C53E54B" w:rsidR="00E16E01" w:rsidRPr="008B5D7F" w:rsidRDefault="00E16E01" w:rsidP="008B5D7F">
      <w:pPr>
        <w:tabs>
          <w:tab w:val="right" w:pos="8129"/>
        </w:tabs>
        <w:spacing w:line="240" w:lineRule="auto"/>
        <w:rPr>
          <w:rFonts w:cstheme="minorHAnsi"/>
          <w:lang w:val="es-AR"/>
        </w:rPr>
      </w:pPr>
      <w:r w:rsidRPr="008B5D7F">
        <w:rPr>
          <w:rFonts w:cstheme="minorHAnsi"/>
          <w:lang w:val="es-AR"/>
        </w:rPr>
        <w:t xml:space="preserve">Con IREF4, se busca solucionar de forma más satisfactoria el problema de la progresividad. Sin embargo, el índice necesita gran disponibilidad de datos estadísticos y es </w:t>
      </w:r>
      <w:r w:rsidR="004F5D64" w:rsidRPr="008B5D7F">
        <w:rPr>
          <w:rFonts w:cstheme="minorHAnsi"/>
          <w:lang w:val="es-AR"/>
        </w:rPr>
        <w:t xml:space="preserve">de cálculo </w:t>
      </w:r>
      <w:r w:rsidRPr="008B5D7F">
        <w:rPr>
          <w:rFonts w:cstheme="minorHAnsi"/>
          <w:lang w:val="es-AR"/>
        </w:rPr>
        <w:t xml:space="preserve">más </w:t>
      </w:r>
      <w:r w:rsidR="004F5D64" w:rsidRPr="008B5D7F">
        <w:rPr>
          <w:rFonts w:cstheme="minorHAnsi"/>
          <w:lang w:val="es-AR"/>
        </w:rPr>
        <w:t>complejo</w:t>
      </w:r>
      <w:r w:rsidRPr="008B5D7F">
        <w:rPr>
          <w:rFonts w:cstheme="minorHAnsi"/>
          <w:lang w:val="es-AR"/>
        </w:rPr>
        <w:t xml:space="preserve">. Según los autores, el IREF3 </w:t>
      </w:r>
      <w:r w:rsidRPr="008B5D7F">
        <w:rPr>
          <w:rFonts w:cstheme="minorHAnsi"/>
          <w:i/>
          <w:lang w:val="es-AR"/>
        </w:rPr>
        <w:t>“sería el índice adecuado para medir el esfuerzo fiscal si el impuesto fuera proporcional”</w:t>
      </w:r>
      <w:r w:rsidR="00A8340E" w:rsidRPr="008B5D7F">
        <w:rPr>
          <w:rFonts w:cstheme="minorHAnsi"/>
          <w:i/>
          <w:lang w:val="es-AR"/>
        </w:rPr>
        <w:t>.</w:t>
      </w:r>
      <w:r w:rsidR="00A8340E" w:rsidRPr="008B5D7F">
        <w:rPr>
          <w:rFonts w:cstheme="minorHAnsi"/>
          <w:lang w:val="es-AR"/>
        </w:rPr>
        <w:t xml:space="preserve"> </w:t>
      </w:r>
    </w:p>
    <w:p w14:paraId="21A050DA" w14:textId="75377F0C" w:rsidR="00B230F7" w:rsidRPr="008B5D7F" w:rsidRDefault="00A8340E" w:rsidP="008B5D7F">
      <w:pPr>
        <w:spacing w:line="240" w:lineRule="auto"/>
        <w:rPr>
          <w:rFonts w:cstheme="minorHAnsi"/>
          <w:lang w:val="es-AR"/>
        </w:rPr>
      </w:pPr>
      <w:r w:rsidRPr="008B5D7F">
        <w:rPr>
          <w:rFonts w:cstheme="minorHAnsi"/>
          <w:lang w:val="es-AR"/>
        </w:rPr>
        <w:t xml:space="preserve">Zabalza </w:t>
      </w:r>
      <w:r w:rsidR="00481D74" w:rsidRPr="008B5D7F">
        <w:rPr>
          <w:rFonts w:cstheme="minorHAnsi"/>
          <w:lang w:val="es-AR"/>
        </w:rPr>
        <w:t>et al.</w:t>
      </w:r>
      <w:r w:rsidRPr="008B5D7F">
        <w:rPr>
          <w:rFonts w:cstheme="minorHAnsi"/>
          <w:lang w:val="es-AR"/>
        </w:rPr>
        <w:t xml:space="preserve"> (1999) t</w:t>
      </w:r>
      <w:r w:rsidR="00B230F7" w:rsidRPr="008B5D7F">
        <w:rPr>
          <w:rFonts w:cstheme="minorHAnsi"/>
          <w:lang w:val="es-AR"/>
        </w:rPr>
        <w:t xml:space="preserve">ambién enuncian que </w:t>
      </w:r>
      <w:r w:rsidR="00B230F7" w:rsidRPr="008B5D7F">
        <w:rPr>
          <w:rFonts w:cstheme="minorHAnsi"/>
          <w:i/>
          <w:lang w:val="es-AR"/>
        </w:rPr>
        <w:t>“los resultados muestran que el tipo de variable macroeconómica utilizada para determinar la base imponible teórica juega un papel importante en la valoración del esfuerzo fiscal de aquellas Comunidades en las que las transferencias a las familias son importantes y que, en este sentido, una variable basada en la renta es preferible a una variable basada en el producto”</w:t>
      </w:r>
      <w:r w:rsidR="00B230F7" w:rsidRPr="008B5D7F">
        <w:rPr>
          <w:rFonts w:cstheme="minorHAnsi"/>
          <w:lang w:val="es-AR"/>
        </w:rPr>
        <w:t xml:space="preserve"> y</w:t>
      </w:r>
      <w:r w:rsidR="0081493E" w:rsidRPr="008B5D7F">
        <w:rPr>
          <w:rFonts w:cstheme="minorHAnsi"/>
          <w:lang w:val="es-AR"/>
        </w:rPr>
        <w:t>,</w:t>
      </w:r>
      <w:r w:rsidR="00B230F7" w:rsidRPr="008B5D7F">
        <w:rPr>
          <w:rFonts w:cstheme="minorHAnsi"/>
          <w:lang w:val="es-AR"/>
        </w:rPr>
        <w:t xml:space="preserve"> </w:t>
      </w:r>
      <w:r w:rsidR="0081493E" w:rsidRPr="008B5D7F">
        <w:rPr>
          <w:rFonts w:cstheme="minorHAnsi"/>
          <w:lang w:val="es-AR"/>
        </w:rPr>
        <w:t xml:space="preserve">también, </w:t>
      </w:r>
      <w:r w:rsidR="00B230F7" w:rsidRPr="008B5D7F">
        <w:rPr>
          <w:rFonts w:cstheme="minorHAnsi"/>
          <w:lang w:val="es-AR"/>
        </w:rPr>
        <w:t xml:space="preserve">que </w:t>
      </w:r>
      <w:r w:rsidR="00B230F7" w:rsidRPr="008B5D7F">
        <w:rPr>
          <w:rFonts w:cstheme="minorHAnsi"/>
          <w:i/>
          <w:lang w:val="es-AR"/>
        </w:rPr>
        <w:t>“la distinta definición de los índices no parece influir demasiado en su variación temporal, que, en todo caso, dada la naturaleza estructural de los mismos, no es muy acusada”</w:t>
      </w:r>
      <w:r w:rsidR="00B230F7" w:rsidRPr="008B5D7F">
        <w:rPr>
          <w:rFonts w:cstheme="minorHAnsi"/>
          <w:lang w:val="es-AR"/>
        </w:rPr>
        <w:t>.</w:t>
      </w:r>
    </w:p>
    <w:p w14:paraId="501198DE" w14:textId="654B2B9C" w:rsidR="00A8340E" w:rsidRPr="008B5D7F" w:rsidRDefault="00A8340E" w:rsidP="008B5D7F">
      <w:pPr>
        <w:spacing w:line="240" w:lineRule="auto"/>
        <w:rPr>
          <w:rFonts w:cstheme="minorHAnsi"/>
          <w:lang w:val="es-AR"/>
        </w:rPr>
      </w:pPr>
      <w:r w:rsidRPr="008B5D7F">
        <w:rPr>
          <w:rFonts w:cstheme="minorHAnsi"/>
          <w:lang w:val="es-AR"/>
        </w:rPr>
        <w:t xml:space="preserve">López Casasnovas </w:t>
      </w:r>
      <w:r w:rsidR="00481D74" w:rsidRPr="008B5D7F">
        <w:rPr>
          <w:rFonts w:cstheme="minorHAnsi"/>
          <w:lang w:val="es-AR"/>
        </w:rPr>
        <w:t>et al.</w:t>
      </w:r>
      <w:r w:rsidRPr="008B5D7F">
        <w:rPr>
          <w:rFonts w:cstheme="minorHAnsi"/>
          <w:lang w:val="es-AR"/>
        </w:rPr>
        <w:t xml:space="preserve"> (2008) se refieren a los IREF como una metodología interesante, en particular </w:t>
      </w:r>
      <w:r w:rsidRPr="008B5D7F">
        <w:rPr>
          <w:rFonts w:cstheme="minorHAnsi"/>
          <w:i/>
          <w:lang w:val="es-AR"/>
        </w:rPr>
        <w:t>“si no nos es indispensable conocer el nivel de cumplimiento fiscal específico de cada territorio, sino que tan solo necesitamos conocer el cumplimiento fiscal relativo de cada territorio respecto a los demás; podemos prescindir de estimar dicha recaudación teórica”.</w:t>
      </w:r>
    </w:p>
    <w:p w14:paraId="02522DA9" w14:textId="2BDFEA5A" w:rsidR="00A8340E" w:rsidRPr="008B5D7F" w:rsidRDefault="00A8340E" w:rsidP="008B5D7F">
      <w:pPr>
        <w:spacing w:line="240" w:lineRule="auto"/>
        <w:rPr>
          <w:rFonts w:cstheme="minorHAnsi"/>
          <w:lang w:val="es-AR"/>
        </w:rPr>
      </w:pPr>
      <w:r w:rsidRPr="008B5D7F">
        <w:rPr>
          <w:rFonts w:cstheme="minorHAnsi"/>
          <w:lang w:val="es-AR"/>
        </w:rPr>
        <w:lastRenderedPageBreak/>
        <w:t>En su trabajo, los autores buscan identificar la diferencia entre un índice de esfuerzo fiscal y un índice de esfuerzo fiscal relativo. Índice de cumplimiento fiscal (ICFi) e índice relativo de esfuerzo fiscal (IREF</w:t>
      </w:r>
      <w:r w:rsidRPr="008B5D7F">
        <w:rPr>
          <w:rFonts w:cstheme="minorHAnsi"/>
          <w:vertAlign w:val="subscript"/>
          <w:lang w:val="es-AR"/>
        </w:rPr>
        <w:t>i</w:t>
      </w:r>
      <w:r w:rsidRPr="008B5D7F">
        <w:rPr>
          <w:rFonts w:cstheme="minorHAnsi"/>
          <w:lang w:val="es-AR"/>
        </w:rPr>
        <w:t>).</w:t>
      </w:r>
    </w:p>
    <w:p w14:paraId="25AE5010" w14:textId="0B037F95" w:rsidR="00A8340E" w:rsidRPr="008B5D7F" w:rsidRDefault="00A8340E" w:rsidP="008B5D7F">
      <w:pPr>
        <w:spacing w:line="240" w:lineRule="auto"/>
        <w:rPr>
          <w:rFonts w:cstheme="minorHAnsi"/>
          <w:lang w:val="es-AR"/>
        </w:rPr>
      </w:pPr>
      <w:r w:rsidRPr="008B5D7F">
        <w:rPr>
          <w:rFonts w:cstheme="minorHAnsi"/>
          <w:lang w:val="es-AR"/>
        </w:rPr>
        <w:t xml:space="preserve">Uno de los puntos importantes que mencionan los autores, es que </w:t>
      </w:r>
      <w:r w:rsidRPr="008B5D7F">
        <w:rPr>
          <w:rFonts w:cstheme="minorHAnsi"/>
          <w:i/>
          <w:lang w:val="es-AR"/>
        </w:rPr>
        <w:t>“… en una medida de esfuerzo fiscal relativo lo realmente importante es identificar las variables que pueden servir como proxies para determinar la capacidad fiscal de cada territorio”</w:t>
      </w:r>
      <w:r w:rsidRPr="008B5D7F">
        <w:rPr>
          <w:rFonts w:cstheme="minorHAnsi"/>
          <w:lang w:val="es-AR"/>
        </w:rPr>
        <w:t>. Para hacerlo los autores proponen una estimación de la recaudación esperada:</w:t>
      </w:r>
    </w:p>
    <w:p w14:paraId="2B423AFA" w14:textId="77777777" w:rsidR="00A8340E" w:rsidRPr="008B5D7F" w:rsidRDefault="00EE621F" w:rsidP="008B5D7F">
      <w:pPr>
        <w:spacing w:line="240" w:lineRule="auto"/>
        <w:rPr>
          <w:rFonts w:cstheme="minorHAnsi"/>
          <w:lang w:val="es-AR"/>
        </w:rPr>
      </w:pPr>
      <m:oMathPara>
        <m:oMath>
          <m:sSubSup>
            <m:sSubSupPr>
              <m:ctrlPr>
                <w:rPr>
                  <w:rFonts w:ascii="Cambria Math" w:hAnsi="Cambria Math" w:cstheme="minorHAnsi"/>
                  <w:i/>
                  <w:lang w:val="es-AR"/>
                </w:rPr>
              </m:ctrlPr>
            </m:sSubSupPr>
            <m:e>
              <m:r>
                <w:rPr>
                  <w:rFonts w:ascii="Cambria Math" w:hAnsi="Cambria Math" w:cstheme="minorHAnsi"/>
                  <w:lang w:val="es-AR"/>
                </w:rPr>
                <m:t>T</m:t>
              </m:r>
            </m:e>
            <m:sub>
              <m:r>
                <w:rPr>
                  <w:rFonts w:ascii="Cambria Math" w:hAnsi="Cambria Math" w:cstheme="minorHAnsi"/>
                  <w:lang w:val="es-AR"/>
                </w:rPr>
                <m:t>i</m:t>
              </m:r>
            </m:sub>
            <m:sup>
              <m:r>
                <w:rPr>
                  <w:rFonts w:ascii="Cambria Math" w:hAnsi="Cambria Math" w:cstheme="minorHAnsi"/>
                  <w:lang w:val="es-AR"/>
                </w:rPr>
                <m:t>*</m:t>
              </m:r>
            </m:sup>
          </m:sSubSup>
          <m:r>
            <w:rPr>
              <w:rFonts w:ascii="Cambria Math" w:hAnsi="Cambria Math" w:cstheme="minorHAnsi"/>
              <w:lang w:val="es-AR"/>
            </w:rPr>
            <m:t>=</m:t>
          </m:r>
          <m:sSubSup>
            <m:sSubSupPr>
              <m:ctrlPr>
                <w:rPr>
                  <w:rFonts w:ascii="Cambria Math" w:hAnsi="Cambria Math" w:cstheme="minorHAnsi"/>
                  <w:i/>
                  <w:lang w:val="es-AR"/>
                </w:rPr>
              </m:ctrlPr>
            </m:sSubSupPr>
            <m:e>
              <m:r>
                <w:rPr>
                  <w:rFonts w:ascii="Cambria Math" w:hAnsi="Cambria Math" w:cstheme="minorHAnsi"/>
                  <w:lang w:val="es-AR"/>
                </w:rPr>
                <m:t>t</m:t>
              </m:r>
            </m:e>
            <m:sub>
              <m:r>
                <w:rPr>
                  <w:rFonts w:ascii="Cambria Math" w:hAnsi="Cambria Math" w:cstheme="minorHAnsi"/>
                  <w:lang w:val="es-AR"/>
                </w:rPr>
                <m:t>i</m:t>
              </m:r>
            </m:sub>
            <m:sup>
              <m:r>
                <w:rPr>
                  <w:rFonts w:ascii="Cambria Math" w:hAnsi="Cambria Math" w:cstheme="minorHAnsi"/>
                  <w:lang w:val="es-AR"/>
                </w:rPr>
                <m:t>*</m:t>
              </m:r>
            </m:sup>
          </m:sSubSup>
          <m:r>
            <w:rPr>
              <w:rFonts w:ascii="Cambria Math" w:hAnsi="Cambria Math" w:cstheme="minorHAnsi"/>
              <w:lang w:val="es-AR"/>
            </w:rPr>
            <m:t xml:space="preserve">. </m:t>
          </m:r>
          <m:sSubSup>
            <m:sSubSupPr>
              <m:ctrlPr>
                <w:rPr>
                  <w:rFonts w:ascii="Cambria Math" w:hAnsi="Cambria Math" w:cstheme="minorHAnsi"/>
                  <w:i/>
                  <w:lang w:val="es-AR"/>
                </w:rPr>
              </m:ctrlPr>
            </m:sSubSupPr>
            <m:e>
              <m:r>
                <w:rPr>
                  <w:rFonts w:ascii="Cambria Math" w:hAnsi="Cambria Math" w:cstheme="minorHAnsi"/>
                  <w:lang w:val="es-AR"/>
                </w:rPr>
                <m:t>B</m:t>
              </m:r>
            </m:e>
            <m:sub>
              <m:r>
                <w:rPr>
                  <w:rFonts w:ascii="Cambria Math" w:hAnsi="Cambria Math" w:cstheme="minorHAnsi"/>
                  <w:lang w:val="es-AR"/>
                </w:rPr>
                <m:t>i</m:t>
              </m:r>
            </m:sub>
            <m:sup>
              <m:r>
                <w:rPr>
                  <w:rFonts w:ascii="Cambria Math" w:hAnsi="Cambria Math" w:cstheme="minorHAnsi"/>
                  <w:lang w:val="es-AR"/>
                </w:rPr>
                <m:t>*</m:t>
              </m:r>
            </m:sup>
          </m:sSubSup>
        </m:oMath>
      </m:oMathPara>
    </w:p>
    <w:p w14:paraId="26DD460A" w14:textId="77777777" w:rsidR="00A8340E" w:rsidRPr="008B5D7F" w:rsidRDefault="00A8340E" w:rsidP="008B5D7F">
      <w:pPr>
        <w:spacing w:line="240" w:lineRule="auto"/>
        <w:rPr>
          <w:rFonts w:cstheme="minorHAnsi"/>
          <w:lang w:val="es-AR"/>
        </w:rPr>
      </w:pPr>
      <w:r w:rsidRPr="008B5D7F">
        <w:rPr>
          <w:rFonts w:cstheme="minorHAnsi"/>
          <w:lang w:val="es-AR"/>
        </w:rPr>
        <w:t>Donde B</w:t>
      </w:r>
      <w:r w:rsidRPr="008B5D7F">
        <w:rPr>
          <w:rFonts w:cstheme="minorHAnsi"/>
          <w:vertAlign w:val="subscript"/>
          <w:lang w:val="es-AR"/>
        </w:rPr>
        <w:t>i</w:t>
      </w:r>
      <w:r w:rsidRPr="008B5D7F">
        <w:rPr>
          <w:rFonts w:cstheme="minorHAnsi"/>
          <w:vertAlign w:val="superscript"/>
          <w:lang w:val="es-AR"/>
        </w:rPr>
        <w:t>*</w:t>
      </w:r>
      <w:r w:rsidRPr="008B5D7F">
        <w:rPr>
          <w:rFonts w:cstheme="minorHAnsi"/>
          <w:lang w:val="es-AR"/>
        </w:rPr>
        <w:t xml:space="preserve"> es la base imponible esperada, y t</w:t>
      </w:r>
      <w:r w:rsidRPr="008B5D7F">
        <w:rPr>
          <w:rFonts w:cstheme="minorHAnsi"/>
          <w:vertAlign w:val="subscript"/>
          <w:lang w:val="es-AR"/>
        </w:rPr>
        <w:t>i</w:t>
      </w:r>
      <w:r w:rsidRPr="008B5D7F">
        <w:rPr>
          <w:rFonts w:cstheme="minorHAnsi"/>
          <w:vertAlign w:val="superscript"/>
          <w:lang w:val="es-AR"/>
        </w:rPr>
        <w:t>*</w:t>
      </w:r>
      <w:r w:rsidRPr="008B5D7F">
        <w:rPr>
          <w:rFonts w:cstheme="minorHAnsi"/>
          <w:lang w:val="es-AR"/>
        </w:rPr>
        <w:t xml:space="preserve"> es el tipo impositivo teórico de cada territorio i.</w:t>
      </w:r>
    </w:p>
    <w:p w14:paraId="11D4B079" w14:textId="15B3E1FB" w:rsidR="00A8340E" w:rsidRPr="008B5D7F" w:rsidRDefault="00A8340E" w:rsidP="008B5D7F">
      <w:pPr>
        <w:spacing w:line="240" w:lineRule="auto"/>
        <w:ind w:left="709" w:right="709" w:firstLine="0"/>
        <w:rPr>
          <w:rFonts w:cstheme="minorHAnsi"/>
          <w:lang w:val="es-AR"/>
        </w:rPr>
      </w:pPr>
      <w:r w:rsidRPr="008B5D7F">
        <w:rPr>
          <w:rFonts w:cstheme="minorHAnsi"/>
          <w:lang w:val="es-AR"/>
        </w:rPr>
        <w:t>La base imponible esperada se obtiene a partir de la distribución entre territorios de la base declarada total (B). Esta distribución se realiza a través de variables que … nos sirvan de indicadores de capacidad de pago (o capacidad fiscal) real de cada territorio. Se distribuye, pues, la base total declarada, en función de lo que tendría que pagar cada territorio. A pesar de que se podrían utilizar variables de capacidad de pago comunes para todos los impuestos (como podrían ser la renta relativa o el valor añadido bruto del territorio), es recomendable utilizar criterios de distribución específicos adaptados a la naturaleza de cada uno de los impuestos. (López Casasnovas y Castellanos Maduell, 2002).</w:t>
      </w:r>
    </w:p>
    <w:p w14:paraId="2782C655" w14:textId="77777777" w:rsidR="00A8340E" w:rsidRPr="008B5D7F" w:rsidRDefault="00A8340E" w:rsidP="008B5D7F">
      <w:pPr>
        <w:spacing w:line="240" w:lineRule="auto"/>
        <w:rPr>
          <w:rFonts w:cstheme="minorHAnsi"/>
          <w:lang w:val="es-AR"/>
        </w:rPr>
      </w:pPr>
      <w:r w:rsidRPr="008B5D7F">
        <w:rPr>
          <w:rFonts w:cstheme="minorHAnsi"/>
          <w:lang w:val="es-AR"/>
        </w:rPr>
        <w:t>Para el cálculo de los IREF, los autores utilizan diversos criterios de territorialización de acuerdo al impuesto con el que se trabaja en cada caso. Expresan los criterios de territorialización algebraicamente de la siguiente manera:</w:t>
      </w:r>
    </w:p>
    <w:p w14:paraId="5EFF8371" w14:textId="77777777" w:rsidR="00A8340E" w:rsidRPr="008B5D7F" w:rsidRDefault="00EE621F" w:rsidP="008B5D7F">
      <w:pPr>
        <w:spacing w:line="240" w:lineRule="auto"/>
        <w:rPr>
          <w:rFonts w:cstheme="minorHAnsi"/>
          <w:lang w:val="es-AR"/>
        </w:rPr>
      </w:pPr>
      <m:oMathPara>
        <m:oMath>
          <m:sSubSup>
            <m:sSubSupPr>
              <m:ctrlPr>
                <w:rPr>
                  <w:rFonts w:ascii="Cambria Math" w:hAnsi="Cambria Math" w:cstheme="minorHAnsi"/>
                  <w:i/>
                  <w:lang w:val="es-AR"/>
                </w:rPr>
              </m:ctrlPr>
            </m:sSubSupPr>
            <m:e>
              <m:r>
                <w:rPr>
                  <w:rFonts w:ascii="Cambria Math" w:hAnsi="Cambria Math" w:cstheme="minorHAnsi"/>
                  <w:lang w:val="es-AR"/>
                </w:rPr>
                <m:t>B</m:t>
              </m:r>
            </m:e>
            <m:sub>
              <m:r>
                <w:rPr>
                  <w:rFonts w:ascii="Cambria Math" w:hAnsi="Cambria Math" w:cstheme="minorHAnsi"/>
                  <w:lang w:val="es-AR"/>
                </w:rPr>
                <m:t>i</m:t>
              </m:r>
            </m:sub>
            <m:sup>
              <m:r>
                <w:rPr>
                  <w:rFonts w:ascii="Cambria Math" w:hAnsi="Cambria Math" w:cstheme="minorHAnsi"/>
                  <w:lang w:val="es-AR"/>
                </w:rPr>
                <m:t>*</m:t>
              </m:r>
            </m:sup>
          </m:sSubSup>
          <m:r>
            <w:rPr>
              <w:rFonts w:ascii="Cambria Math" w:hAnsi="Cambria Math" w:cstheme="minorHAnsi"/>
              <w:lang w:val="es-AR"/>
            </w:rPr>
            <m:t>=αB</m:t>
          </m:r>
        </m:oMath>
      </m:oMathPara>
    </w:p>
    <w:p w14:paraId="0B627AB8" w14:textId="77777777" w:rsidR="00A8340E" w:rsidRPr="008B5D7F" w:rsidRDefault="00A8340E" w:rsidP="008B5D7F">
      <w:pPr>
        <w:spacing w:line="240" w:lineRule="auto"/>
        <w:rPr>
          <w:rFonts w:cstheme="minorHAnsi"/>
          <w:lang w:val="es-AR"/>
        </w:rPr>
      </w:pPr>
      <w:r w:rsidRPr="008B5D7F">
        <w:rPr>
          <w:rFonts w:cstheme="minorHAnsi"/>
          <w:i/>
          <w:lang w:val="es-AR"/>
        </w:rPr>
        <w:t>“Donde α es la proporción de la base del impuesto que tendría que corresponder al territorio i. Por eso, podemos decir que α es el índice de territorialización del impuesto, de acuerdo con la variable escogida a tal efecto</w:t>
      </w:r>
      <w:r w:rsidRPr="008B5D7F">
        <w:rPr>
          <w:rFonts w:cstheme="minorHAnsi"/>
          <w:lang w:val="es-AR"/>
        </w:rPr>
        <w:t>”.</w:t>
      </w:r>
    </w:p>
    <w:p w14:paraId="5C0A9133" w14:textId="5C1932EF" w:rsidR="00A8340E" w:rsidRPr="008B5D7F" w:rsidRDefault="00A8340E" w:rsidP="008B5D7F">
      <w:pPr>
        <w:spacing w:line="240" w:lineRule="auto"/>
        <w:rPr>
          <w:rFonts w:cstheme="minorHAnsi"/>
          <w:lang w:val="es-AR"/>
        </w:rPr>
      </w:pPr>
      <w:r w:rsidRPr="008B5D7F">
        <w:rPr>
          <w:rFonts w:cstheme="minorHAnsi"/>
          <w:lang w:val="es-AR"/>
        </w:rPr>
        <w:t>Luego de suponer que es posible encontrar variables para la territorialización que se adapten a cada hecho imponible, presentan tres métodos para calcular el tipo impositivo teórico. El tipo medio global (t</w:t>
      </w:r>
      <w:r w:rsidRPr="008B5D7F">
        <w:rPr>
          <w:rFonts w:cstheme="minorHAnsi"/>
          <w:vertAlign w:val="subscript"/>
          <w:lang w:val="es-AR"/>
        </w:rPr>
        <w:t>i</w:t>
      </w:r>
      <w:r w:rsidRPr="008B5D7F">
        <w:rPr>
          <w:rFonts w:cstheme="minorHAnsi"/>
          <w:lang w:val="es-AR"/>
        </w:rPr>
        <w:t>=t=T/B), que es la división de la recaudación agregada del impuesto y la base del impuesto agregada declarada del mismo. Con este cálculo el mismo tipo impositivo es aplicable a todas las comunidades. El segundo método es el tipo medio observado (t</w:t>
      </w:r>
      <w:r w:rsidRPr="008B5D7F">
        <w:rPr>
          <w:rFonts w:cstheme="minorHAnsi"/>
          <w:vertAlign w:val="subscript"/>
          <w:lang w:val="es-AR"/>
        </w:rPr>
        <w:t>i</w:t>
      </w:r>
      <w:r w:rsidRPr="008B5D7F">
        <w:rPr>
          <w:rFonts w:cstheme="minorHAnsi"/>
          <w:lang w:val="es-AR"/>
        </w:rPr>
        <w:t>=T</w:t>
      </w:r>
      <w:r w:rsidRPr="008B5D7F">
        <w:rPr>
          <w:rFonts w:cstheme="minorHAnsi"/>
          <w:vertAlign w:val="subscript"/>
          <w:lang w:val="es-AR"/>
        </w:rPr>
        <w:t>i</w:t>
      </w:r>
      <w:r w:rsidRPr="008B5D7F">
        <w:rPr>
          <w:rFonts w:cstheme="minorHAnsi"/>
          <w:lang w:val="es-AR"/>
        </w:rPr>
        <w:t>/B</w:t>
      </w:r>
      <w:r w:rsidRPr="008B5D7F">
        <w:rPr>
          <w:rFonts w:cstheme="minorHAnsi"/>
          <w:vertAlign w:val="subscript"/>
          <w:lang w:val="es-AR"/>
        </w:rPr>
        <w:t>i</w:t>
      </w:r>
      <w:r w:rsidRPr="008B5D7F">
        <w:rPr>
          <w:rFonts w:cstheme="minorHAnsi"/>
          <w:lang w:val="es-AR"/>
        </w:rPr>
        <w:t>), este cálculo se diferencia del anterior en que se divide la recaudación de cada comunidad por su base imponible declarada (en vez de los valores agregados). Este método resulta más preciso, pero implica una mayor complejidad en el cálculo. Por último, presentan el tipo medio normativo, donde en vez de calcular el tipo impositivo efectivo observado, se determina de forma “exógena” el tipo impositivo aplicable en cada caso en función de la composición de las bases para cada impuesto.</w:t>
      </w:r>
    </w:p>
    <w:p w14:paraId="3CC81831" w14:textId="3D9C4F5E" w:rsidR="00A8340E" w:rsidRPr="008B5D7F" w:rsidRDefault="007359B7" w:rsidP="008B5D7F">
      <w:pPr>
        <w:spacing w:line="240" w:lineRule="auto"/>
        <w:rPr>
          <w:rFonts w:cstheme="minorHAnsi"/>
          <w:lang w:val="es-AR"/>
        </w:rPr>
      </w:pPr>
      <w:r w:rsidRPr="008B5D7F">
        <w:rPr>
          <w:rFonts w:cstheme="minorHAnsi"/>
          <w:lang w:val="es-AR"/>
        </w:rPr>
        <w:t xml:space="preserve">Según López Casasnovas </w:t>
      </w:r>
      <w:r w:rsidR="003636E6" w:rsidRPr="008B5D7F">
        <w:rPr>
          <w:rFonts w:cstheme="minorHAnsi"/>
          <w:lang w:val="es-AR"/>
        </w:rPr>
        <w:t>et al.</w:t>
      </w:r>
      <w:r w:rsidRPr="008B5D7F">
        <w:rPr>
          <w:rFonts w:cstheme="minorHAnsi"/>
          <w:lang w:val="es-AR"/>
        </w:rPr>
        <w:t xml:space="preserve"> (2002) c</w:t>
      </w:r>
      <w:r w:rsidR="00A8340E" w:rsidRPr="008B5D7F">
        <w:rPr>
          <w:rFonts w:cstheme="minorHAnsi"/>
          <w:lang w:val="es-AR"/>
        </w:rPr>
        <w:t>uando se realicen los cálculos de los IREF, hay que tener en cuenta que son cálculos “tentativos” ya que los criterios de territorialización son imperfectos.</w:t>
      </w:r>
      <w:r w:rsidR="002F48A5" w:rsidRPr="008B5D7F">
        <w:rPr>
          <w:rFonts w:cstheme="minorHAnsi"/>
          <w:lang w:val="es-AR"/>
        </w:rPr>
        <w:t xml:space="preserve"> Según estos autores</w:t>
      </w:r>
      <w:r w:rsidRPr="008B5D7F">
        <w:rPr>
          <w:rFonts w:cstheme="minorHAnsi"/>
          <w:lang w:val="es-AR"/>
        </w:rPr>
        <w:t xml:space="preserve"> para que los IREF tengan </w:t>
      </w:r>
      <w:r w:rsidRPr="008B5D7F">
        <w:rPr>
          <w:rFonts w:cstheme="minorHAnsi"/>
          <w:i/>
          <w:lang w:val="es-AR"/>
        </w:rPr>
        <w:t>“</w:t>
      </w:r>
      <w:r w:rsidR="00A8340E" w:rsidRPr="008B5D7F">
        <w:rPr>
          <w:rFonts w:cstheme="minorHAnsi"/>
          <w:i/>
          <w:lang w:val="es-AR"/>
        </w:rPr>
        <w:t xml:space="preserve">cierta vigencia empírica, los criterios de distribución de la recaudación deben ser iguales a la distribución de las capacidades recaudatorias de cada C.A. </w:t>
      </w:r>
      <w:r w:rsidR="000108E1" w:rsidRPr="008B5D7F">
        <w:rPr>
          <w:rFonts w:cstheme="minorHAnsi"/>
          <w:lang w:val="es-AR"/>
        </w:rPr>
        <w:t>[Comunidad Autónoma]</w:t>
      </w:r>
      <w:r w:rsidR="000108E1" w:rsidRPr="008B5D7F">
        <w:rPr>
          <w:rFonts w:cstheme="minorHAnsi"/>
          <w:i/>
          <w:lang w:val="es-AR"/>
        </w:rPr>
        <w:t xml:space="preserve"> </w:t>
      </w:r>
      <w:r w:rsidR="00A8340E" w:rsidRPr="008B5D7F">
        <w:rPr>
          <w:rFonts w:cstheme="minorHAnsi"/>
          <w:i/>
          <w:lang w:val="es-AR"/>
        </w:rPr>
        <w:t>para cada impuesto, independientemente de su nivel de cumplimiento fiscal</w:t>
      </w:r>
      <w:r w:rsidRPr="008B5D7F">
        <w:rPr>
          <w:rFonts w:cstheme="minorHAnsi"/>
          <w:i/>
          <w:lang w:val="es-AR"/>
        </w:rPr>
        <w:t>”.</w:t>
      </w:r>
    </w:p>
    <w:p w14:paraId="40ED304C" w14:textId="28FBA72C" w:rsidR="00B230F7" w:rsidRPr="008B5D7F" w:rsidRDefault="00E21C0D" w:rsidP="008B5D7F">
      <w:pPr>
        <w:tabs>
          <w:tab w:val="right" w:pos="8129"/>
        </w:tabs>
        <w:spacing w:line="240" w:lineRule="auto"/>
        <w:rPr>
          <w:rFonts w:cstheme="minorHAnsi"/>
          <w:lang w:val="es-AR"/>
        </w:rPr>
      </w:pPr>
      <w:r w:rsidRPr="008B5D7F">
        <w:rPr>
          <w:rFonts w:cstheme="minorHAnsi"/>
          <w:lang w:val="es-AR"/>
        </w:rPr>
        <w:lastRenderedPageBreak/>
        <w:t xml:space="preserve">En otro trabajo, </w:t>
      </w:r>
      <w:r w:rsidR="00821C3B" w:rsidRPr="008B5D7F">
        <w:rPr>
          <w:rFonts w:cstheme="minorHAnsi"/>
          <w:lang w:val="es-AR"/>
        </w:rPr>
        <w:t>Ramírez</w:t>
      </w:r>
      <w:r w:rsidR="00CF45F3" w:rsidRPr="008B5D7F">
        <w:rPr>
          <w:rFonts w:cstheme="minorHAnsi"/>
          <w:lang w:val="es-AR"/>
        </w:rPr>
        <w:t xml:space="preserve"> Rodriguez </w:t>
      </w:r>
      <w:r w:rsidR="003636E6" w:rsidRPr="008B5D7F">
        <w:rPr>
          <w:rFonts w:cstheme="minorHAnsi"/>
          <w:lang w:val="es-AR"/>
        </w:rPr>
        <w:t>et al.</w:t>
      </w:r>
      <w:r w:rsidR="0081493E" w:rsidRPr="008B5D7F">
        <w:rPr>
          <w:rFonts w:cstheme="minorHAnsi"/>
          <w:lang w:val="es-AR"/>
        </w:rPr>
        <w:t xml:space="preserve"> </w:t>
      </w:r>
      <w:r w:rsidR="00CF45F3" w:rsidRPr="008B5D7F">
        <w:rPr>
          <w:rFonts w:cstheme="minorHAnsi"/>
          <w:lang w:val="es-AR"/>
        </w:rPr>
        <w:t>(2011)</w:t>
      </w:r>
      <w:r w:rsidR="00491627" w:rsidRPr="008B5D7F">
        <w:rPr>
          <w:rFonts w:cstheme="minorHAnsi"/>
          <w:lang w:val="es-AR"/>
        </w:rPr>
        <w:t xml:space="preserve"> plantean </w:t>
      </w:r>
      <w:r w:rsidR="00491627" w:rsidRPr="008B5D7F">
        <w:rPr>
          <w:rFonts w:cstheme="minorHAnsi"/>
          <w:i/>
          <w:lang w:val="es-AR"/>
        </w:rPr>
        <w:t>“realizar una actualización de las mediciones de capacidad y esfuerzo fiscal usando la técnica econométrica de regresión de frontera estocástica para datos de panel. El período de análisis cubre de 2005 a 2009 dada la disponibilidad de los datos para poder integrar la matriz de variables e indicadores</w:t>
      </w:r>
      <w:r w:rsidR="00491627" w:rsidRPr="008B5D7F">
        <w:rPr>
          <w:rFonts w:cstheme="minorHAnsi"/>
          <w:lang w:val="es-AR"/>
        </w:rPr>
        <w:t>”.</w:t>
      </w:r>
    </w:p>
    <w:p w14:paraId="13B43950" w14:textId="0376BBDB" w:rsidR="00491627" w:rsidRPr="008B5D7F" w:rsidRDefault="00E21C0D" w:rsidP="008B5D7F">
      <w:pPr>
        <w:tabs>
          <w:tab w:val="right" w:pos="8129"/>
        </w:tabs>
        <w:spacing w:line="240" w:lineRule="auto"/>
        <w:rPr>
          <w:rFonts w:cstheme="minorHAnsi"/>
          <w:lang w:val="es-AR"/>
        </w:rPr>
      </w:pPr>
      <w:r w:rsidRPr="008B5D7F">
        <w:rPr>
          <w:rFonts w:cstheme="minorHAnsi"/>
          <w:lang w:val="es-AR"/>
        </w:rPr>
        <w:t>Antes de proceder a su cálculo hacen una revisión de distintos cálculos existentes a la</w:t>
      </w:r>
      <w:r w:rsidR="0029354A" w:rsidRPr="008B5D7F">
        <w:rPr>
          <w:rFonts w:cstheme="minorHAnsi"/>
          <w:lang w:val="es-AR"/>
        </w:rPr>
        <w:t xml:space="preserve"> fecha</w:t>
      </w:r>
      <w:r w:rsidRPr="008B5D7F">
        <w:rPr>
          <w:rFonts w:cstheme="minorHAnsi"/>
          <w:lang w:val="es-AR"/>
        </w:rPr>
        <w:t>.</w:t>
      </w:r>
      <w:r w:rsidR="008421BC" w:rsidRPr="008B5D7F">
        <w:rPr>
          <w:rFonts w:cstheme="minorHAnsi"/>
          <w:lang w:val="es-AR"/>
        </w:rPr>
        <w:t xml:space="preserve"> </w:t>
      </w:r>
      <w:r w:rsidR="000B4FBB" w:rsidRPr="008B5D7F">
        <w:rPr>
          <w:rFonts w:cstheme="minorHAnsi"/>
          <w:lang w:val="es-AR"/>
        </w:rPr>
        <w:t>Citan el trabajo de Sobarzo (2003), que trabaja con impuestos federales y estatales</w:t>
      </w:r>
      <w:r w:rsidR="0029354A" w:rsidRPr="008B5D7F">
        <w:rPr>
          <w:rFonts w:cstheme="minorHAnsi"/>
          <w:lang w:val="es-AR"/>
        </w:rPr>
        <w:t xml:space="preserve"> con</w:t>
      </w:r>
      <w:r w:rsidR="000B4FBB" w:rsidRPr="008B5D7F">
        <w:rPr>
          <w:rFonts w:cstheme="minorHAnsi"/>
          <w:lang w:val="es-AR"/>
        </w:rPr>
        <w:t xml:space="preserve"> excep</w:t>
      </w:r>
      <w:r w:rsidR="0029354A" w:rsidRPr="008B5D7F">
        <w:rPr>
          <w:rFonts w:cstheme="minorHAnsi"/>
          <w:lang w:val="es-AR"/>
        </w:rPr>
        <w:t>ción de</w:t>
      </w:r>
      <w:r w:rsidR="000B4FBB" w:rsidRPr="008B5D7F">
        <w:rPr>
          <w:rFonts w:cstheme="minorHAnsi"/>
          <w:lang w:val="es-AR"/>
        </w:rPr>
        <w:t xml:space="preserve"> los relativos a exportación de petróleo y comercio exterior. Trabaja con bases fiscales proxy, calculando para cada impuesto </w:t>
      </w:r>
      <w:r w:rsidR="000B4FBB" w:rsidRPr="008B5D7F">
        <w:rPr>
          <w:rFonts w:cstheme="minorHAnsi"/>
          <w:i/>
          <w:lang w:val="es-AR"/>
        </w:rPr>
        <w:t xml:space="preserve">“una tasa efectiva promedio no ponderada” </w:t>
      </w:r>
      <w:r w:rsidR="000B4FBB" w:rsidRPr="008B5D7F">
        <w:rPr>
          <w:rFonts w:cstheme="minorHAnsi"/>
          <w:lang w:val="es-AR"/>
        </w:rPr>
        <w:t>que incluye a los estados que lo aplican, “</w:t>
      </w:r>
      <w:r w:rsidR="000B4FBB" w:rsidRPr="008B5D7F">
        <w:rPr>
          <w:rFonts w:cstheme="minorHAnsi"/>
          <w:i/>
          <w:lang w:val="es-AR"/>
        </w:rPr>
        <w:t xml:space="preserve">luego se multiplica esta tasa por la base tributaria, </w:t>
      </w:r>
      <w:r w:rsidR="006C760F" w:rsidRPr="008B5D7F">
        <w:rPr>
          <w:rFonts w:cstheme="minorHAnsi"/>
          <w:i/>
          <w:lang w:val="es-AR"/>
        </w:rPr>
        <w:t>generando la capacidad tributaria por estado. El esfuerzo fiscal se obtiene tomando el porcentaje de recaudación respecto a la capacidad fiscal”.</w:t>
      </w:r>
      <w:r w:rsidR="006C760F" w:rsidRPr="008B5D7F">
        <w:rPr>
          <w:rFonts w:cstheme="minorHAnsi"/>
          <w:lang w:val="es-AR"/>
        </w:rPr>
        <w:t xml:space="preserve"> </w:t>
      </w:r>
      <w:r w:rsidR="00264C9A" w:rsidRPr="008B5D7F">
        <w:rPr>
          <w:rFonts w:cstheme="minorHAnsi"/>
          <w:lang w:val="es-AR"/>
        </w:rPr>
        <w:t>Los autores</w:t>
      </w:r>
      <w:r w:rsidR="006C760F" w:rsidRPr="008B5D7F">
        <w:rPr>
          <w:rFonts w:cstheme="minorHAnsi"/>
          <w:lang w:val="es-AR"/>
        </w:rPr>
        <w:t xml:space="preserve"> mencionan como limitaciones el hecho de que la selección de las bases tributarias es subjetiva, y que </w:t>
      </w:r>
      <w:r w:rsidR="006C760F" w:rsidRPr="008B5D7F">
        <w:rPr>
          <w:rFonts w:cstheme="minorHAnsi"/>
          <w:i/>
          <w:lang w:val="es-AR"/>
        </w:rPr>
        <w:t>“no toma en cuenta el impacto diferenciado del producto interno bruto PIB per cápita en las capacidades fiscales”.</w:t>
      </w:r>
    </w:p>
    <w:p w14:paraId="2D20589A" w14:textId="629376F7" w:rsidR="007E2F3B" w:rsidRPr="008B5D7F" w:rsidRDefault="006C760F" w:rsidP="008B5D7F">
      <w:pPr>
        <w:spacing w:line="240" w:lineRule="auto"/>
        <w:rPr>
          <w:rFonts w:cstheme="minorHAnsi"/>
          <w:lang w:val="es-AR"/>
        </w:rPr>
      </w:pPr>
      <w:r w:rsidRPr="008B5D7F">
        <w:rPr>
          <w:rFonts w:cstheme="minorHAnsi"/>
          <w:lang w:val="es-AR"/>
        </w:rPr>
        <w:t xml:space="preserve">Respecto al trabajo de Aguilar (2003 y 2006), </w:t>
      </w:r>
      <w:r w:rsidR="0029354A" w:rsidRPr="008B5D7F">
        <w:rPr>
          <w:rFonts w:cstheme="minorHAnsi"/>
          <w:lang w:val="es-AR"/>
        </w:rPr>
        <w:t xml:space="preserve">Ramírez Rodriguez </w:t>
      </w:r>
      <w:r w:rsidR="003636E6" w:rsidRPr="008B5D7F">
        <w:rPr>
          <w:rFonts w:cstheme="minorHAnsi"/>
          <w:lang w:val="es-AR"/>
        </w:rPr>
        <w:t>et al.</w:t>
      </w:r>
      <w:r w:rsidR="0029354A" w:rsidRPr="008B5D7F">
        <w:rPr>
          <w:rFonts w:cstheme="minorHAnsi"/>
          <w:lang w:val="es-AR"/>
        </w:rPr>
        <w:t xml:space="preserve"> (2011)</w:t>
      </w:r>
      <w:r w:rsidRPr="008B5D7F">
        <w:rPr>
          <w:rFonts w:cstheme="minorHAnsi"/>
          <w:lang w:val="es-AR"/>
        </w:rPr>
        <w:t xml:space="preserve"> mencionan que realiza una regresión de frontera estocástica con panel de datos, utilizando variables como el PBI, el peso de la industria en el PBI, coeficientes de </w:t>
      </w:r>
      <w:r w:rsidR="00B679ED" w:rsidRPr="008B5D7F">
        <w:rPr>
          <w:rFonts w:cstheme="minorHAnsi"/>
          <w:lang w:val="es-AR"/>
        </w:rPr>
        <w:t>G</w:t>
      </w:r>
      <w:r w:rsidRPr="008B5D7F">
        <w:rPr>
          <w:rFonts w:cstheme="minorHAnsi"/>
          <w:lang w:val="es-AR"/>
        </w:rPr>
        <w:t xml:space="preserve">ini estatales, población urbana y rural, e inflación. La limitación de este análisis es que </w:t>
      </w:r>
      <w:r w:rsidRPr="008B5D7F">
        <w:rPr>
          <w:rFonts w:cstheme="minorHAnsi"/>
          <w:i/>
          <w:lang w:val="es-AR"/>
        </w:rPr>
        <w:t>“la forma funcional elegida es una hipótesis impuesta a los datos que no puede ser contrastada, pero se puede realizar inferencia de los resultados obtenidos”</w:t>
      </w:r>
      <w:r w:rsidRPr="008B5D7F">
        <w:rPr>
          <w:rFonts w:cstheme="minorHAnsi"/>
          <w:lang w:val="es-AR"/>
        </w:rPr>
        <w:t>.</w:t>
      </w:r>
    </w:p>
    <w:p w14:paraId="620A0F26" w14:textId="31A019F4" w:rsidR="006C760F" w:rsidRPr="008B5D7F" w:rsidRDefault="006C760F" w:rsidP="008B5D7F">
      <w:pPr>
        <w:spacing w:line="240" w:lineRule="auto"/>
        <w:rPr>
          <w:rFonts w:cstheme="minorHAnsi"/>
          <w:lang w:val="es-AR"/>
        </w:rPr>
      </w:pPr>
      <w:r w:rsidRPr="008B5D7F">
        <w:rPr>
          <w:rFonts w:cstheme="minorHAnsi"/>
          <w:lang w:val="es-AR"/>
        </w:rPr>
        <w:t xml:space="preserve">En cuanto al desarrollo de Ahmad et al. (2007), Ramirez Rodriguez </w:t>
      </w:r>
      <w:r w:rsidR="003636E6" w:rsidRPr="008B5D7F">
        <w:rPr>
          <w:rFonts w:cstheme="minorHAnsi"/>
          <w:lang w:val="es-AR"/>
        </w:rPr>
        <w:t>et al.</w:t>
      </w:r>
      <w:r w:rsidR="00AF5BDF" w:rsidRPr="008B5D7F">
        <w:rPr>
          <w:rFonts w:cstheme="minorHAnsi"/>
          <w:lang w:val="es-AR"/>
        </w:rPr>
        <w:t xml:space="preserve"> </w:t>
      </w:r>
      <w:r w:rsidRPr="008B5D7F">
        <w:rPr>
          <w:rFonts w:cstheme="minorHAnsi"/>
          <w:lang w:val="es-AR"/>
        </w:rPr>
        <w:t>mencionan que la metodología usada tiene que ver con los incentivos</w:t>
      </w:r>
      <w:r w:rsidR="00264C9A" w:rsidRPr="008B5D7F">
        <w:rPr>
          <w:rFonts w:cstheme="minorHAnsi"/>
          <w:lang w:val="es-AR"/>
        </w:rPr>
        <w:t>:</w:t>
      </w:r>
      <w:r w:rsidRPr="008B5D7F">
        <w:rPr>
          <w:rFonts w:cstheme="minorHAnsi"/>
          <w:lang w:val="es-AR"/>
        </w:rPr>
        <w:t xml:space="preserve"> </w:t>
      </w:r>
      <w:r w:rsidRPr="008B5D7F">
        <w:rPr>
          <w:rFonts w:cstheme="minorHAnsi"/>
          <w:i/>
          <w:lang w:val="es-AR"/>
        </w:rPr>
        <w:t>“Se calcula la tasa de crecimiento en el ingreso por incentivos para el periodo 2000-2005 para cada estado. Después se calcula el porcentaje de población de cada estado, se multiplica por la tasa de crecimiento de los incentivos y se divide entre la sumatoria de todos los estados de este mismo indicador. El resultado es el esfuerzo fiscal por estado”</w:t>
      </w:r>
      <w:r w:rsidRPr="008B5D7F">
        <w:rPr>
          <w:rFonts w:cstheme="minorHAnsi"/>
          <w:lang w:val="es-AR"/>
        </w:rPr>
        <w:t xml:space="preserve">. Como la </w:t>
      </w:r>
      <w:r w:rsidRPr="008B5D7F">
        <w:rPr>
          <w:rFonts w:cstheme="minorHAnsi"/>
          <w:i/>
          <w:lang w:val="es-AR"/>
        </w:rPr>
        <w:t>“capacidad fiscal son los ingresos propios de cada estado, se aplica una tasa media nacional sobre cada una de las bases. Las bases fiscales de los estados son proporcionales al PIBE</w:t>
      </w:r>
      <w:r w:rsidR="005138CD" w:rsidRPr="008B5D7F">
        <w:rPr>
          <w:rFonts w:cstheme="minorHAnsi"/>
          <w:i/>
          <w:lang w:val="es-AR"/>
        </w:rPr>
        <w:t xml:space="preserve"> </w:t>
      </w:r>
      <w:r w:rsidR="005138CD" w:rsidRPr="008B5D7F">
        <w:rPr>
          <w:rFonts w:cstheme="minorHAnsi"/>
          <w:lang w:val="es-AR"/>
        </w:rPr>
        <w:t>[Producto Interno Bruto Estatal]</w:t>
      </w:r>
      <w:r w:rsidRPr="008B5D7F">
        <w:rPr>
          <w:rFonts w:cstheme="minorHAnsi"/>
          <w:lang w:val="es-AR"/>
        </w:rPr>
        <w:t xml:space="preserve">”. </w:t>
      </w:r>
      <w:r w:rsidR="0029354A" w:rsidRPr="008B5D7F">
        <w:rPr>
          <w:rFonts w:cstheme="minorHAnsi"/>
          <w:lang w:val="es-AR"/>
        </w:rPr>
        <w:t>Según los autores l</w:t>
      </w:r>
      <w:r w:rsidRPr="008B5D7F">
        <w:rPr>
          <w:rFonts w:cstheme="minorHAnsi"/>
          <w:lang w:val="es-AR"/>
        </w:rPr>
        <w:t>as limitaciones de este cálculo son que el mismo no es global y no permite realizar política tributaria.</w:t>
      </w:r>
    </w:p>
    <w:p w14:paraId="6A080F6A" w14:textId="1F56C19F" w:rsidR="004F09E0" w:rsidRPr="008B5D7F" w:rsidRDefault="001D22F9" w:rsidP="008B5D7F">
      <w:pPr>
        <w:spacing w:line="240" w:lineRule="auto"/>
        <w:rPr>
          <w:rFonts w:cstheme="minorHAnsi"/>
          <w:lang w:val="es-AR"/>
        </w:rPr>
      </w:pPr>
      <w:r w:rsidRPr="008B5D7F">
        <w:rPr>
          <w:rFonts w:cstheme="minorHAnsi"/>
          <w:lang w:val="es-AR"/>
        </w:rPr>
        <w:t>A continuación se refieren al trabajo de Rabell</w:t>
      </w:r>
      <w:r w:rsidR="00553BBA" w:rsidRPr="008B5D7F">
        <w:rPr>
          <w:rFonts w:cstheme="minorHAnsi"/>
          <w:lang w:val="es-AR"/>
        </w:rPr>
        <w:t xml:space="preserve"> García</w:t>
      </w:r>
      <w:r w:rsidRPr="008B5D7F">
        <w:rPr>
          <w:rFonts w:cstheme="minorHAnsi"/>
          <w:lang w:val="es-AR"/>
        </w:rPr>
        <w:t xml:space="preserve"> (20</w:t>
      </w:r>
      <w:r w:rsidR="00553BBA" w:rsidRPr="008B5D7F">
        <w:rPr>
          <w:rFonts w:cstheme="minorHAnsi"/>
          <w:lang w:val="es-AR"/>
        </w:rPr>
        <w:t>06</w:t>
      </w:r>
      <w:r w:rsidRPr="008B5D7F">
        <w:rPr>
          <w:rFonts w:cstheme="minorHAnsi"/>
          <w:lang w:val="es-AR"/>
        </w:rPr>
        <w:t xml:space="preserve">), quien </w:t>
      </w:r>
      <w:r w:rsidRPr="008B5D7F">
        <w:rPr>
          <w:rFonts w:cstheme="minorHAnsi"/>
          <w:i/>
          <w:lang w:val="es-AR"/>
        </w:rPr>
        <w:t>“utiliza los ingresos propios para medir capacidad y esfuerzo fiscal por estado”</w:t>
      </w:r>
      <w:r w:rsidRPr="008B5D7F">
        <w:rPr>
          <w:rFonts w:cstheme="minorHAnsi"/>
          <w:lang w:val="es-AR"/>
        </w:rPr>
        <w:t xml:space="preserve">. </w:t>
      </w:r>
      <w:r w:rsidR="003636E6" w:rsidRPr="008B5D7F">
        <w:rPr>
          <w:rFonts w:cstheme="minorHAnsi"/>
          <w:lang w:val="es-AR"/>
        </w:rPr>
        <w:t>Este autor define</w:t>
      </w:r>
      <w:r w:rsidRPr="008B5D7F">
        <w:rPr>
          <w:rFonts w:cstheme="minorHAnsi"/>
          <w:lang w:val="es-AR"/>
        </w:rPr>
        <w:t xml:space="preserve"> la capacidad fiscal por ACIR</w:t>
      </w:r>
      <w:r w:rsidRPr="008B5D7F">
        <w:rPr>
          <w:rStyle w:val="Refdenotaalpie"/>
          <w:rFonts w:cstheme="minorHAnsi"/>
          <w:lang w:val="es-AR"/>
        </w:rPr>
        <w:footnoteReference w:id="3"/>
      </w:r>
      <w:r w:rsidR="004F09E0" w:rsidRPr="008B5D7F">
        <w:rPr>
          <w:rFonts w:cstheme="minorHAnsi"/>
          <w:lang w:val="es-AR"/>
        </w:rPr>
        <w:t xml:space="preserve"> </w:t>
      </w:r>
      <w:r w:rsidR="004F09E0" w:rsidRPr="008B5D7F">
        <w:rPr>
          <w:rFonts w:cstheme="minorHAnsi"/>
          <w:i/>
          <w:lang w:val="es-AR"/>
        </w:rPr>
        <w:t>“como el ingreso impositivo por persona que sería recolectado por un gobierno si aplicara la tasa promedio de todos los gobiern</w:t>
      </w:r>
      <w:r w:rsidR="0035263B" w:rsidRPr="008B5D7F">
        <w:rPr>
          <w:rFonts w:cstheme="minorHAnsi"/>
          <w:i/>
          <w:lang w:val="es-AR"/>
        </w:rPr>
        <w:t>os. Para normalizar el cálculo s</w:t>
      </w:r>
      <w:r w:rsidR="004F09E0" w:rsidRPr="008B5D7F">
        <w:rPr>
          <w:rFonts w:cstheme="minorHAnsi"/>
          <w:i/>
          <w:lang w:val="es-AR"/>
        </w:rPr>
        <w:t>e divide por la cantidad de impuestos que serían obtenidos si se aplicara la tasa promedio a la base fiscal promedio”</w:t>
      </w:r>
      <w:r w:rsidR="004F09E0" w:rsidRPr="008B5D7F">
        <w:rPr>
          <w:rFonts w:cstheme="minorHAnsi"/>
          <w:lang w:val="es-AR"/>
        </w:rPr>
        <w:t>. “</w:t>
      </w:r>
      <w:r w:rsidR="004F09E0" w:rsidRPr="008B5D7F">
        <w:rPr>
          <w:rFonts w:cstheme="minorHAnsi"/>
          <w:i/>
          <w:lang w:val="es-AR"/>
        </w:rPr>
        <w:t>El esfuerzo fiscal aplica la tasa fiscal de una entidad al promedio de la base fiscal de todas las entidades para verificar cuánto ingreso hubiera sido recaudado. El resultado es estandarizado entre el promedio de ingresos de los estados”</w:t>
      </w:r>
      <w:r w:rsidR="004F09E0" w:rsidRPr="008B5D7F">
        <w:rPr>
          <w:rFonts w:cstheme="minorHAnsi"/>
          <w:lang w:val="es-AR"/>
        </w:rPr>
        <w:t xml:space="preserve">. </w:t>
      </w:r>
      <w:r w:rsidR="00553BBA" w:rsidRPr="008B5D7F">
        <w:rPr>
          <w:rFonts w:cstheme="minorHAnsi"/>
          <w:lang w:val="es-AR"/>
        </w:rPr>
        <w:t>Según los autores, l</w:t>
      </w:r>
      <w:r w:rsidR="004F09E0" w:rsidRPr="008B5D7F">
        <w:rPr>
          <w:rFonts w:cstheme="minorHAnsi"/>
          <w:lang w:val="es-AR"/>
        </w:rPr>
        <w:t>as limitaciones de este cálculo es que es global y no permite realizar política tributaria. Entre sus resultados se puede mencionar que se “</w:t>
      </w:r>
      <w:r w:rsidR="004F09E0" w:rsidRPr="008B5D7F">
        <w:rPr>
          <w:rFonts w:cstheme="minorHAnsi"/>
          <w:i/>
          <w:lang w:val="es-AR"/>
        </w:rPr>
        <w:t>encuentra correlación positiva entre las participaciones federales a estados y esfuerzo fiscal, y lo contrario para las aportaciones federales</w:t>
      </w:r>
      <w:r w:rsidR="004F09E0" w:rsidRPr="008B5D7F">
        <w:rPr>
          <w:rFonts w:cstheme="minorHAnsi"/>
          <w:lang w:val="es-AR"/>
        </w:rPr>
        <w:t>”.</w:t>
      </w:r>
    </w:p>
    <w:p w14:paraId="5D058359" w14:textId="0D474DB1" w:rsidR="002A7D2F" w:rsidRPr="008B5D7F" w:rsidRDefault="002A7D2F" w:rsidP="008B5D7F">
      <w:pPr>
        <w:spacing w:line="240" w:lineRule="auto"/>
        <w:rPr>
          <w:rFonts w:cstheme="minorHAnsi"/>
          <w:lang w:val="es-AR"/>
        </w:rPr>
      </w:pPr>
      <w:r w:rsidRPr="008B5D7F">
        <w:rPr>
          <w:rFonts w:cstheme="minorHAnsi"/>
          <w:lang w:val="es-AR"/>
        </w:rPr>
        <w:t>Según Rabell García (2010):</w:t>
      </w:r>
    </w:p>
    <w:p w14:paraId="447502E6" w14:textId="3AF7227F" w:rsidR="002A7D2F" w:rsidRPr="008B5D7F" w:rsidRDefault="002A7D2F" w:rsidP="008B5D7F">
      <w:pPr>
        <w:spacing w:line="240" w:lineRule="auto"/>
        <w:ind w:left="709" w:right="709" w:firstLine="0"/>
        <w:rPr>
          <w:rFonts w:cstheme="minorHAnsi"/>
          <w:lang w:val="es-AR"/>
        </w:rPr>
      </w:pPr>
      <w:r w:rsidRPr="008B5D7F">
        <w:rPr>
          <w:rFonts w:cstheme="minorHAnsi"/>
          <w:lang w:val="es-AR"/>
        </w:rPr>
        <w:t xml:space="preserve">… la capacidad fiscal es definida por ACIR como la renta impositiva por persona que sería recolectada por un gobierno si aplicara la tasa promedio de todos los </w:t>
      </w:r>
      <w:r w:rsidRPr="008B5D7F">
        <w:rPr>
          <w:rFonts w:cstheme="minorHAnsi"/>
          <w:lang w:val="es-AR"/>
        </w:rPr>
        <w:lastRenderedPageBreak/>
        <w:t>gobiernos. Para normalizar tal concepto el cálculo es dividido por la cantidad de impuestos</w:t>
      </w:r>
      <w:r w:rsidR="00C17C1D" w:rsidRPr="008B5D7F">
        <w:rPr>
          <w:rFonts w:cstheme="minorHAnsi"/>
          <w:lang w:val="es-AR"/>
        </w:rPr>
        <w:t xml:space="preserve"> que serían obtenidos si se aplicara la tasa promedio a la base fiscal promedio.</w:t>
      </w:r>
    </w:p>
    <w:p w14:paraId="29CA5827" w14:textId="0791B9EE" w:rsidR="00C17C1D" w:rsidRPr="008B5D7F" w:rsidRDefault="00C17C1D" w:rsidP="008B5D7F">
      <w:pPr>
        <w:spacing w:line="240" w:lineRule="auto"/>
        <w:ind w:left="709" w:right="709" w:firstLine="0"/>
        <w:rPr>
          <w:rFonts w:cstheme="minorHAnsi"/>
          <w:lang w:val="es-AR"/>
        </w:rPr>
      </w:pPr>
      <w:r w:rsidRPr="008B5D7F">
        <w:rPr>
          <w:rFonts w:cstheme="minorHAnsi"/>
          <w:lang w:val="es-AR"/>
        </w:rPr>
        <w:t>El producto estatal bruto (PEB) será considerado como la base fiscal en razón de que es la única medida disponible para este propósito. Las tasas impositivas resultan de dividir los ingresos propios de los estados por el PEB. Todos estos números se expresan en cantidades por persona.</w:t>
      </w:r>
    </w:p>
    <w:p w14:paraId="215A5A57" w14:textId="431342A0" w:rsidR="00C17C1D" w:rsidRPr="008B5D7F" w:rsidRDefault="00C17C1D" w:rsidP="008B5D7F">
      <w:pPr>
        <w:spacing w:line="240" w:lineRule="auto"/>
        <w:rPr>
          <w:rFonts w:cstheme="minorHAnsi"/>
          <w:lang w:val="es-AR"/>
        </w:rPr>
      </w:pPr>
      <w:r w:rsidRPr="008B5D7F">
        <w:rPr>
          <w:rFonts w:cstheme="minorHAnsi"/>
          <w:lang w:val="es-AR"/>
        </w:rPr>
        <w:t>Es decir que la capacidad fiscal según este autor se calcularía:</w:t>
      </w:r>
    </w:p>
    <w:p w14:paraId="3D85DC8D" w14:textId="769ECF3E" w:rsidR="00C17C1D" w:rsidRPr="008B5D7F" w:rsidRDefault="00C17C1D" w:rsidP="008B5D7F">
      <w:pPr>
        <w:spacing w:line="240" w:lineRule="auto"/>
        <w:rPr>
          <w:rFonts w:cstheme="minorHAnsi"/>
          <w:lang w:val="es-AR"/>
        </w:rPr>
      </w:pPr>
      <w:r w:rsidRPr="008B5D7F">
        <w:rPr>
          <w:rFonts w:cstheme="minorHAnsi"/>
          <w:noProof/>
          <w:lang w:val="es-AR" w:eastAsia="es-AR"/>
        </w:rPr>
        <mc:AlternateContent>
          <mc:Choice Requires="wps">
            <w:drawing>
              <wp:anchor distT="0" distB="0" distL="114300" distR="114300" simplePos="0" relativeHeight="251675648" behindDoc="0" locked="0" layoutInCell="1" allowOverlap="1" wp14:anchorId="7F1A081A" wp14:editId="129347F9">
                <wp:simplePos x="0" y="0"/>
                <wp:positionH relativeFrom="margin">
                  <wp:align>center</wp:align>
                </wp:positionH>
                <wp:positionV relativeFrom="paragraph">
                  <wp:posOffset>10160</wp:posOffset>
                </wp:positionV>
                <wp:extent cx="2863215" cy="434975"/>
                <wp:effectExtent l="0" t="0" r="0" b="0"/>
                <wp:wrapNone/>
                <wp:docPr id="1" name="CuadroTexto 14"/>
                <wp:cNvGraphicFramePr/>
                <a:graphic xmlns:a="http://schemas.openxmlformats.org/drawingml/2006/main">
                  <a:graphicData uri="http://schemas.microsoft.com/office/word/2010/wordprocessingShape">
                    <wps:wsp>
                      <wps:cNvSpPr txBox="1"/>
                      <wps:spPr>
                        <a:xfrm>
                          <a:off x="0" y="0"/>
                          <a:ext cx="2863215" cy="43497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39EF3D8E" w14:textId="77777777" w:rsidR="00EE621F" w:rsidRPr="00C17C1D" w:rsidRDefault="00EE621F" w:rsidP="00C17C1D">
                            <w:pPr>
                              <w:pStyle w:val="NormalWeb"/>
                              <w:spacing w:before="0" w:beforeAutospacing="0" w:after="0" w:afterAutospacing="0"/>
                              <w:rPr>
                                <w:sz w:val="22"/>
                                <w:szCs w:val="22"/>
                              </w:rPr>
                            </w:pPr>
                            <m:oMathPara>
                              <m:oMathParaPr>
                                <m:jc m:val="centerGroup"/>
                              </m:oMathParaPr>
                              <m:oMath>
                                <m:sSub>
                                  <m:sSubPr>
                                    <m:ctrlPr>
                                      <w:rPr>
                                        <w:rFonts w:ascii="Cambria Math" w:hAnsi="Cambria Math" w:cstheme="minorBidi"/>
                                        <w:i/>
                                        <w:iCs/>
                                        <w:color w:val="000000" w:themeColor="text1"/>
                                        <w:kern w:val="24"/>
                                        <w:sz w:val="22"/>
                                        <w:szCs w:val="22"/>
                                      </w:rPr>
                                    </m:ctrlPr>
                                  </m:sSubPr>
                                  <m:e>
                                    <m:r>
                                      <w:rPr>
                                        <w:rFonts w:ascii="Cambria Math" w:hAnsi="Cambria Math" w:cstheme="minorBidi"/>
                                        <w:color w:val="000000" w:themeColor="text1"/>
                                        <w:kern w:val="24"/>
                                        <w:sz w:val="22"/>
                                        <w:szCs w:val="22"/>
                                      </w:rPr>
                                      <m:t>CF</m:t>
                                    </m:r>
                                  </m:e>
                                  <m:sub>
                                    <m:r>
                                      <w:rPr>
                                        <w:rFonts w:ascii="Cambria Math" w:hAnsi="Cambria Math" w:cstheme="minorBidi"/>
                                        <w:color w:val="000000" w:themeColor="text1"/>
                                        <w:kern w:val="24"/>
                                        <w:sz w:val="22"/>
                                        <w:szCs w:val="22"/>
                                      </w:rPr>
                                      <m:t>i</m:t>
                                    </m:r>
                                  </m:sub>
                                </m:sSub>
                                <m:r>
                                  <w:rPr>
                                    <w:rFonts w:ascii="Cambria Math" w:hAnsi="Cambria Math" w:cstheme="minorBidi"/>
                                    <w:color w:val="000000" w:themeColor="text1"/>
                                    <w:kern w:val="24"/>
                                    <w:sz w:val="22"/>
                                    <w:szCs w:val="22"/>
                                  </w:rPr>
                                  <m:t>=</m:t>
                                </m:r>
                                <m:f>
                                  <m:fPr>
                                    <m:ctrlPr>
                                      <w:rPr>
                                        <w:rFonts w:ascii="Cambria Math" w:hAnsi="Cambria Math" w:cstheme="minorBidi"/>
                                        <w:i/>
                                        <w:iCs/>
                                        <w:color w:val="000000" w:themeColor="text1"/>
                                        <w:kern w:val="24"/>
                                        <w:sz w:val="22"/>
                                        <w:szCs w:val="22"/>
                                      </w:rPr>
                                    </m:ctrlPr>
                                  </m:fPr>
                                  <m:num>
                                    <m:sSub>
                                      <m:sSubPr>
                                        <m:ctrlPr>
                                          <w:rPr>
                                            <w:rFonts w:ascii="Cambria Math" w:hAnsi="Cambria Math" w:cstheme="minorBidi"/>
                                            <w:i/>
                                            <w:iCs/>
                                            <w:color w:val="000000" w:themeColor="text1"/>
                                            <w:kern w:val="24"/>
                                            <w:sz w:val="22"/>
                                            <w:szCs w:val="22"/>
                                          </w:rPr>
                                        </m:ctrlPr>
                                      </m:sSubPr>
                                      <m:e>
                                        <m:r>
                                          <w:rPr>
                                            <w:rFonts w:ascii="Cambria Math" w:hAnsi="Cambria Math" w:cstheme="minorBidi"/>
                                            <w:color w:val="000000" w:themeColor="text1"/>
                                            <w:kern w:val="24"/>
                                            <w:sz w:val="22"/>
                                            <w:szCs w:val="22"/>
                                          </w:rPr>
                                          <m:t>Base per cap</m:t>
                                        </m:r>
                                      </m:e>
                                      <m:sub>
                                        <m:r>
                                          <w:rPr>
                                            <w:rFonts w:ascii="Cambria Math" w:hAnsi="Cambria Math" w:cstheme="minorBidi"/>
                                            <w:color w:val="000000" w:themeColor="text1"/>
                                            <w:kern w:val="24"/>
                                            <w:sz w:val="22"/>
                                            <w:szCs w:val="22"/>
                                          </w:rPr>
                                          <m:t>i</m:t>
                                        </m:r>
                                      </m:sub>
                                    </m:sSub>
                                    <m:r>
                                      <w:rPr>
                                        <w:rFonts w:ascii="Cambria Math" w:hAnsi="Cambria Math" w:cstheme="minorBidi"/>
                                        <w:color w:val="000000" w:themeColor="text1"/>
                                        <w:kern w:val="24"/>
                                        <w:sz w:val="22"/>
                                        <w:szCs w:val="22"/>
                                      </w:rPr>
                                      <m:t> *</m:t>
                                    </m:r>
                                    <m:sSub>
                                      <m:sSubPr>
                                        <m:ctrlPr>
                                          <w:rPr>
                                            <w:rFonts w:ascii="Cambria Math" w:hAnsi="Cambria Math" w:cstheme="minorBidi"/>
                                            <w:i/>
                                            <w:iCs/>
                                            <w:color w:val="000000" w:themeColor="text1"/>
                                            <w:kern w:val="24"/>
                                            <w:sz w:val="22"/>
                                            <w:szCs w:val="22"/>
                                          </w:rPr>
                                        </m:ctrlPr>
                                      </m:sSubPr>
                                      <m:e>
                                        <m:r>
                                          <w:rPr>
                                            <w:rFonts w:ascii="Cambria Math" w:hAnsi="Cambria Math" w:cstheme="minorBidi"/>
                                            <w:color w:val="000000" w:themeColor="text1"/>
                                            <w:kern w:val="24"/>
                                            <w:sz w:val="22"/>
                                            <w:szCs w:val="22"/>
                                          </w:rPr>
                                          <m:t>t</m:t>
                                        </m:r>
                                      </m:e>
                                      <m:sub>
                                        <m:r>
                                          <w:rPr>
                                            <w:rFonts w:ascii="Cambria Math" w:hAnsi="Cambria Math" w:cstheme="minorBidi"/>
                                            <w:color w:val="000000" w:themeColor="text1"/>
                                            <w:kern w:val="24"/>
                                            <w:sz w:val="22"/>
                                            <w:szCs w:val="22"/>
                                          </w:rPr>
                                          <m:t>promedio</m:t>
                                        </m:r>
                                      </m:sub>
                                    </m:sSub>
                                  </m:num>
                                  <m:den>
                                    <m:sSub>
                                      <m:sSubPr>
                                        <m:ctrlPr>
                                          <w:rPr>
                                            <w:rFonts w:ascii="Cambria Math" w:hAnsi="Cambria Math" w:cstheme="minorBidi"/>
                                            <w:i/>
                                            <w:iCs/>
                                            <w:color w:val="000000" w:themeColor="text1"/>
                                            <w:kern w:val="24"/>
                                            <w:sz w:val="22"/>
                                            <w:szCs w:val="22"/>
                                          </w:rPr>
                                        </m:ctrlPr>
                                      </m:sSubPr>
                                      <m:e>
                                        <m:r>
                                          <w:rPr>
                                            <w:rFonts w:ascii="Cambria Math" w:hAnsi="Cambria Math" w:cstheme="minorBidi"/>
                                            <w:color w:val="000000" w:themeColor="text1"/>
                                            <w:kern w:val="24"/>
                                            <w:sz w:val="22"/>
                                            <w:szCs w:val="22"/>
                                          </w:rPr>
                                          <m:t>Base per cap</m:t>
                                        </m:r>
                                      </m:e>
                                      <m:sub>
                                        <m:r>
                                          <w:rPr>
                                            <w:rFonts w:ascii="Cambria Math" w:hAnsi="Cambria Math" w:cstheme="minorBidi"/>
                                            <w:color w:val="000000" w:themeColor="text1"/>
                                            <w:kern w:val="24"/>
                                            <w:sz w:val="22"/>
                                            <w:szCs w:val="22"/>
                                          </w:rPr>
                                          <m:t>promedio</m:t>
                                        </m:r>
                                      </m:sub>
                                    </m:sSub>
                                    <m:r>
                                      <w:rPr>
                                        <w:rFonts w:ascii="Cambria Math" w:hAnsi="Cambria Math" w:cstheme="minorBidi"/>
                                        <w:color w:val="000000" w:themeColor="text1"/>
                                        <w:kern w:val="24"/>
                                        <w:sz w:val="22"/>
                                        <w:szCs w:val="22"/>
                                      </w:rPr>
                                      <m:t>*</m:t>
                                    </m:r>
                                    <m:sSub>
                                      <m:sSubPr>
                                        <m:ctrlPr>
                                          <w:rPr>
                                            <w:rFonts w:ascii="Cambria Math" w:hAnsi="Cambria Math" w:cstheme="minorBidi"/>
                                            <w:i/>
                                            <w:iCs/>
                                            <w:color w:val="000000" w:themeColor="text1"/>
                                            <w:kern w:val="24"/>
                                            <w:sz w:val="22"/>
                                            <w:szCs w:val="22"/>
                                          </w:rPr>
                                        </m:ctrlPr>
                                      </m:sSubPr>
                                      <m:e>
                                        <m:r>
                                          <w:rPr>
                                            <w:rFonts w:ascii="Cambria Math" w:hAnsi="Cambria Math" w:cstheme="minorBidi"/>
                                            <w:color w:val="000000" w:themeColor="text1"/>
                                            <w:kern w:val="24"/>
                                            <w:sz w:val="22"/>
                                            <w:szCs w:val="22"/>
                                          </w:rPr>
                                          <m:t>t</m:t>
                                        </m:r>
                                      </m:e>
                                      <m:sub>
                                        <m:r>
                                          <w:rPr>
                                            <w:rFonts w:ascii="Cambria Math" w:hAnsi="Cambria Math" w:cstheme="minorBidi"/>
                                            <w:color w:val="000000" w:themeColor="text1"/>
                                            <w:kern w:val="24"/>
                                            <w:sz w:val="22"/>
                                            <w:szCs w:val="22"/>
                                          </w:rPr>
                                          <m:t>promedio</m:t>
                                        </m:r>
                                      </m:sub>
                                    </m:sSub>
                                  </m:den>
                                </m:f>
                              </m:oMath>
                            </m:oMathPara>
                          </w:p>
                        </w:txbxContent>
                      </wps:txbx>
                      <wps:bodyPr wrap="none" lIns="0" tIns="0" rIns="0" bIns="0" rtlCol="0" anchor="t">
                        <a:spAutoFit/>
                      </wps:bodyPr>
                    </wps:wsp>
                  </a:graphicData>
                </a:graphic>
              </wp:anchor>
            </w:drawing>
          </mc:Choice>
          <mc:Fallback>
            <w:pict>
              <v:shapetype w14:anchorId="7F1A081A" id="_x0000_t202" coordsize="21600,21600" o:spt="202" path="m,l,21600r21600,l21600,xe">
                <v:stroke joinstyle="miter"/>
                <v:path gradientshapeok="t" o:connecttype="rect"/>
              </v:shapetype>
              <v:shape id="CuadroTexto 14" o:spid="_x0000_s1026" type="#_x0000_t202" style="position:absolute;left:0;text-align:left;margin-left:0;margin-top:.8pt;width:225.45pt;height:34.25pt;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Ikn/wEAAEsEAAAOAAAAZHJzL2Uyb0RvYy54bWysVNtuEzEQfUfiHyy/k03StJQomwpSFSEh&#10;imj5AK/Xzq5ke6yxk938PWPvpQieinhxvOO5nDlnJru73hp2VhhacCVfLZacKSehbt2x5D+fH97d&#10;chaicLUw4FTJLyrwu/3bN7vOb9UaGjC1QkZJXNh2vuRNjH5bFEE2yoqwAK8cPWpAKyJ94rGoUXSU&#10;3ZpivVzeFB1g7RGkCoGs98Mj3+f8WisZH7UOKjJTcsIW84n5rNJZ7Hdie0Thm1aOMMQ/oLCidVR0&#10;TnUvomAnbP9KZVuJEEDHhQRbgNatVLkH6ma1/KObp0Z4lXshcoKfaQr/L638dv6OrK1JO86csCTR&#10;4SRqhGfVR2CrTWKo82FLjk+eXGP/CfrkPdoDGVPjvUabfqklRu/E9WXml1IxScb17c3VenXNmaS3&#10;zdXmw/vrlKZ4ifYY4mcFlqVLyZH0y7SK89cQB9fJJRVz8NAak+wJ4gAl3+LFqORg3A+lqb2MKBmC&#10;xGN1MMiGGaAhJaTTJBCQHJAcNSV+ZewYkqJVHr1Xxs9BuT64OMfb1gFmIvJiqNTAWdBIxz4LQcD1&#10;4D9RMRCQuIh91Y9aVVBfSMKOxr3kjvaRM/PF0TSlzZguOF2q6YLRHGDYH+FkA0TdoErwH0+RJMjK&#10;pFpDgREDTWzWdtyutBK/f2evl/+A/S8AAAD//wMAUEsDBBQABgAIAAAAIQCZLU682AAAAAUBAAAP&#10;AAAAZHJzL2Rvd25yZXYueG1sTI/BTsMwDIbvSLxD5EncWDIEY5SmE5rEhRsDIXHLGq+pljhVknXt&#10;22NOcLT/X58/19speDFiyn0kDaulAoHURttTp+Hz4/V2AyIXQ9b4SKhhxgzb5vqqNpWNF3rHcV86&#10;wRDKldHgShkqKXPrMJi8jAMSZ8eYgik8pk7aZC4MD17eKbWWwfTEF5wZcOewPe3PQcPj9BVxyLjD&#10;7+PYJtfPG/82a32zmF6eQRScyl8ZfvVZHRp2OsQz2Sy8Bn6k8HYNgsP7B/UE4sBktQLZ1PK/ffMD&#10;AAD//wMAUEsBAi0AFAAGAAgAAAAhALaDOJL+AAAA4QEAABMAAAAAAAAAAAAAAAAAAAAAAFtDb250&#10;ZW50X1R5cGVzXS54bWxQSwECLQAUAAYACAAAACEAOP0h/9YAAACUAQAACwAAAAAAAAAAAAAAAAAv&#10;AQAAX3JlbHMvLnJlbHNQSwECLQAUAAYACAAAACEAkyCJJ/8BAABLBAAADgAAAAAAAAAAAAAAAAAu&#10;AgAAZHJzL2Uyb0RvYy54bWxQSwECLQAUAAYACAAAACEAmS1OvNgAAAAFAQAADwAAAAAAAAAAAAAA&#10;AABZBAAAZHJzL2Rvd25yZXYueG1sUEsFBgAAAAAEAAQA8wAAAF4FAAAAAA==&#10;" filled="f" stroked="f">
                <v:textbox style="mso-fit-shape-to-text:t" inset="0,0,0,0">
                  <w:txbxContent>
                    <w:p w14:paraId="39EF3D8E" w14:textId="77777777" w:rsidR="00EE621F" w:rsidRPr="00C17C1D" w:rsidRDefault="00EE621F" w:rsidP="00C17C1D">
                      <w:pPr>
                        <w:pStyle w:val="NormalWeb"/>
                        <w:spacing w:before="0" w:beforeAutospacing="0" w:after="0" w:afterAutospacing="0"/>
                        <w:rPr>
                          <w:sz w:val="22"/>
                          <w:szCs w:val="22"/>
                        </w:rPr>
                      </w:pPr>
                      <m:oMathPara>
                        <m:oMathParaPr>
                          <m:jc m:val="centerGroup"/>
                        </m:oMathParaPr>
                        <m:oMath>
                          <m:sSub>
                            <m:sSubPr>
                              <m:ctrlPr>
                                <w:rPr>
                                  <w:rFonts w:ascii="Cambria Math" w:hAnsi="Cambria Math" w:cstheme="minorBidi"/>
                                  <w:i/>
                                  <w:iCs/>
                                  <w:color w:val="000000" w:themeColor="text1"/>
                                  <w:kern w:val="24"/>
                                  <w:sz w:val="22"/>
                                  <w:szCs w:val="22"/>
                                </w:rPr>
                              </m:ctrlPr>
                            </m:sSubPr>
                            <m:e>
                              <m:r>
                                <w:rPr>
                                  <w:rFonts w:ascii="Cambria Math" w:hAnsi="Cambria Math" w:cstheme="minorBidi"/>
                                  <w:color w:val="000000" w:themeColor="text1"/>
                                  <w:kern w:val="24"/>
                                  <w:sz w:val="22"/>
                                  <w:szCs w:val="22"/>
                                </w:rPr>
                                <m:t>CF</m:t>
                              </m:r>
                            </m:e>
                            <m:sub>
                              <m:r>
                                <w:rPr>
                                  <w:rFonts w:ascii="Cambria Math" w:hAnsi="Cambria Math" w:cstheme="minorBidi"/>
                                  <w:color w:val="000000" w:themeColor="text1"/>
                                  <w:kern w:val="24"/>
                                  <w:sz w:val="22"/>
                                  <w:szCs w:val="22"/>
                                </w:rPr>
                                <m:t>i</m:t>
                              </m:r>
                            </m:sub>
                          </m:sSub>
                          <m:r>
                            <w:rPr>
                              <w:rFonts w:ascii="Cambria Math" w:hAnsi="Cambria Math" w:cstheme="minorBidi"/>
                              <w:color w:val="000000" w:themeColor="text1"/>
                              <w:kern w:val="24"/>
                              <w:sz w:val="22"/>
                              <w:szCs w:val="22"/>
                            </w:rPr>
                            <m:t>=</m:t>
                          </m:r>
                          <m:f>
                            <m:fPr>
                              <m:ctrlPr>
                                <w:rPr>
                                  <w:rFonts w:ascii="Cambria Math" w:hAnsi="Cambria Math" w:cstheme="minorBidi"/>
                                  <w:i/>
                                  <w:iCs/>
                                  <w:color w:val="000000" w:themeColor="text1"/>
                                  <w:kern w:val="24"/>
                                  <w:sz w:val="22"/>
                                  <w:szCs w:val="22"/>
                                </w:rPr>
                              </m:ctrlPr>
                            </m:fPr>
                            <m:num>
                              <m:sSub>
                                <m:sSubPr>
                                  <m:ctrlPr>
                                    <w:rPr>
                                      <w:rFonts w:ascii="Cambria Math" w:hAnsi="Cambria Math" w:cstheme="minorBidi"/>
                                      <w:i/>
                                      <w:iCs/>
                                      <w:color w:val="000000" w:themeColor="text1"/>
                                      <w:kern w:val="24"/>
                                      <w:sz w:val="22"/>
                                      <w:szCs w:val="22"/>
                                    </w:rPr>
                                  </m:ctrlPr>
                                </m:sSubPr>
                                <m:e>
                                  <m:r>
                                    <w:rPr>
                                      <w:rFonts w:ascii="Cambria Math" w:hAnsi="Cambria Math" w:cstheme="minorBidi"/>
                                      <w:color w:val="000000" w:themeColor="text1"/>
                                      <w:kern w:val="24"/>
                                      <w:sz w:val="22"/>
                                      <w:szCs w:val="22"/>
                                    </w:rPr>
                                    <m:t>Base per cap</m:t>
                                  </m:r>
                                </m:e>
                                <m:sub>
                                  <m:r>
                                    <w:rPr>
                                      <w:rFonts w:ascii="Cambria Math" w:hAnsi="Cambria Math" w:cstheme="minorBidi"/>
                                      <w:color w:val="000000" w:themeColor="text1"/>
                                      <w:kern w:val="24"/>
                                      <w:sz w:val="22"/>
                                      <w:szCs w:val="22"/>
                                    </w:rPr>
                                    <m:t>i</m:t>
                                  </m:r>
                                </m:sub>
                              </m:sSub>
                              <m:r>
                                <w:rPr>
                                  <w:rFonts w:ascii="Cambria Math" w:hAnsi="Cambria Math" w:cstheme="minorBidi"/>
                                  <w:color w:val="000000" w:themeColor="text1"/>
                                  <w:kern w:val="24"/>
                                  <w:sz w:val="22"/>
                                  <w:szCs w:val="22"/>
                                </w:rPr>
                                <m:t> *</m:t>
                              </m:r>
                              <m:sSub>
                                <m:sSubPr>
                                  <m:ctrlPr>
                                    <w:rPr>
                                      <w:rFonts w:ascii="Cambria Math" w:hAnsi="Cambria Math" w:cstheme="minorBidi"/>
                                      <w:i/>
                                      <w:iCs/>
                                      <w:color w:val="000000" w:themeColor="text1"/>
                                      <w:kern w:val="24"/>
                                      <w:sz w:val="22"/>
                                      <w:szCs w:val="22"/>
                                    </w:rPr>
                                  </m:ctrlPr>
                                </m:sSubPr>
                                <m:e>
                                  <m:r>
                                    <w:rPr>
                                      <w:rFonts w:ascii="Cambria Math" w:hAnsi="Cambria Math" w:cstheme="minorBidi"/>
                                      <w:color w:val="000000" w:themeColor="text1"/>
                                      <w:kern w:val="24"/>
                                      <w:sz w:val="22"/>
                                      <w:szCs w:val="22"/>
                                    </w:rPr>
                                    <m:t>t</m:t>
                                  </m:r>
                                </m:e>
                                <m:sub>
                                  <m:r>
                                    <w:rPr>
                                      <w:rFonts w:ascii="Cambria Math" w:hAnsi="Cambria Math" w:cstheme="minorBidi"/>
                                      <w:color w:val="000000" w:themeColor="text1"/>
                                      <w:kern w:val="24"/>
                                      <w:sz w:val="22"/>
                                      <w:szCs w:val="22"/>
                                    </w:rPr>
                                    <m:t>promedio</m:t>
                                  </m:r>
                                </m:sub>
                              </m:sSub>
                            </m:num>
                            <m:den>
                              <m:sSub>
                                <m:sSubPr>
                                  <m:ctrlPr>
                                    <w:rPr>
                                      <w:rFonts w:ascii="Cambria Math" w:hAnsi="Cambria Math" w:cstheme="minorBidi"/>
                                      <w:i/>
                                      <w:iCs/>
                                      <w:color w:val="000000" w:themeColor="text1"/>
                                      <w:kern w:val="24"/>
                                      <w:sz w:val="22"/>
                                      <w:szCs w:val="22"/>
                                    </w:rPr>
                                  </m:ctrlPr>
                                </m:sSubPr>
                                <m:e>
                                  <m:r>
                                    <w:rPr>
                                      <w:rFonts w:ascii="Cambria Math" w:hAnsi="Cambria Math" w:cstheme="minorBidi"/>
                                      <w:color w:val="000000" w:themeColor="text1"/>
                                      <w:kern w:val="24"/>
                                      <w:sz w:val="22"/>
                                      <w:szCs w:val="22"/>
                                    </w:rPr>
                                    <m:t>Base per cap</m:t>
                                  </m:r>
                                </m:e>
                                <m:sub>
                                  <m:r>
                                    <w:rPr>
                                      <w:rFonts w:ascii="Cambria Math" w:hAnsi="Cambria Math" w:cstheme="minorBidi"/>
                                      <w:color w:val="000000" w:themeColor="text1"/>
                                      <w:kern w:val="24"/>
                                      <w:sz w:val="22"/>
                                      <w:szCs w:val="22"/>
                                    </w:rPr>
                                    <m:t>promedio</m:t>
                                  </m:r>
                                </m:sub>
                              </m:sSub>
                              <m:r>
                                <w:rPr>
                                  <w:rFonts w:ascii="Cambria Math" w:hAnsi="Cambria Math" w:cstheme="minorBidi"/>
                                  <w:color w:val="000000" w:themeColor="text1"/>
                                  <w:kern w:val="24"/>
                                  <w:sz w:val="22"/>
                                  <w:szCs w:val="22"/>
                                </w:rPr>
                                <m:t>*</m:t>
                              </m:r>
                              <m:sSub>
                                <m:sSubPr>
                                  <m:ctrlPr>
                                    <w:rPr>
                                      <w:rFonts w:ascii="Cambria Math" w:hAnsi="Cambria Math" w:cstheme="minorBidi"/>
                                      <w:i/>
                                      <w:iCs/>
                                      <w:color w:val="000000" w:themeColor="text1"/>
                                      <w:kern w:val="24"/>
                                      <w:sz w:val="22"/>
                                      <w:szCs w:val="22"/>
                                    </w:rPr>
                                  </m:ctrlPr>
                                </m:sSubPr>
                                <m:e>
                                  <m:r>
                                    <w:rPr>
                                      <w:rFonts w:ascii="Cambria Math" w:hAnsi="Cambria Math" w:cstheme="minorBidi"/>
                                      <w:color w:val="000000" w:themeColor="text1"/>
                                      <w:kern w:val="24"/>
                                      <w:sz w:val="22"/>
                                      <w:szCs w:val="22"/>
                                    </w:rPr>
                                    <m:t>t</m:t>
                                  </m:r>
                                </m:e>
                                <m:sub>
                                  <m:r>
                                    <w:rPr>
                                      <w:rFonts w:ascii="Cambria Math" w:hAnsi="Cambria Math" w:cstheme="minorBidi"/>
                                      <w:color w:val="000000" w:themeColor="text1"/>
                                      <w:kern w:val="24"/>
                                      <w:sz w:val="22"/>
                                      <w:szCs w:val="22"/>
                                    </w:rPr>
                                    <m:t>promedio</m:t>
                                  </m:r>
                                </m:sub>
                              </m:sSub>
                            </m:den>
                          </m:f>
                        </m:oMath>
                      </m:oMathPara>
                    </w:p>
                  </w:txbxContent>
                </v:textbox>
                <w10:wrap anchorx="margin"/>
              </v:shape>
            </w:pict>
          </mc:Fallback>
        </mc:AlternateContent>
      </w:r>
    </w:p>
    <w:p w14:paraId="45F2F0B6" w14:textId="4E8544EF" w:rsidR="00C17C1D" w:rsidRPr="008B5D7F" w:rsidRDefault="00C17C1D" w:rsidP="008B5D7F">
      <w:pPr>
        <w:spacing w:line="240" w:lineRule="auto"/>
        <w:rPr>
          <w:rFonts w:cstheme="minorHAnsi"/>
          <w:lang w:val="es-AR"/>
        </w:rPr>
      </w:pPr>
    </w:p>
    <w:p w14:paraId="30DFC542" w14:textId="0F15C764" w:rsidR="00553BBA" w:rsidRPr="008B5D7F" w:rsidRDefault="009936D8" w:rsidP="008B5D7F">
      <w:pPr>
        <w:spacing w:line="240" w:lineRule="auto"/>
        <w:rPr>
          <w:rFonts w:cstheme="minorHAnsi"/>
          <w:lang w:val="es-AR"/>
        </w:rPr>
      </w:pPr>
      <w:r w:rsidRPr="008B5D7F">
        <w:rPr>
          <w:rFonts w:cstheme="minorHAnsi"/>
          <w:lang w:val="es-AR"/>
        </w:rPr>
        <w:t xml:space="preserve">Por el lado del esfuerzo fiscal el autor también sigue la metodología propuesta por ACIR. </w:t>
      </w:r>
      <w:r w:rsidRPr="008B5D7F">
        <w:rPr>
          <w:rFonts w:cstheme="minorHAnsi"/>
          <w:i/>
          <w:lang w:val="es-AR"/>
        </w:rPr>
        <w:t xml:space="preserve">“la fórmula aplica la tasa fiscal de una entidad al promedio de la base fiscal de todas las entidades para verificar cuanto ingreso hubiera sido recaudado. El resultado es estandarizado entre el promedio de ingresos de los estados”. </w:t>
      </w:r>
      <w:r w:rsidRPr="008B5D7F">
        <w:rPr>
          <w:rFonts w:cstheme="minorHAnsi"/>
          <w:lang w:val="es-AR"/>
        </w:rPr>
        <w:t>La expresión trabajada por el autor es por tanto la siguiente:</w:t>
      </w:r>
    </w:p>
    <w:p w14:paraId="76D7301C" w14:textId="518F13AE" w:rsidR="009936D8" w:rsidRPr="008B5D7F" w:rsidRDefault="009936D8" w:rsidP="008B5D7F">
      <w:pPr>
        <w:spacing w:line="240" w:lineRule="auto"/>
        <w:rPr>
          <w:rFonts w:cstheme="minorHAnsi"/>
          <w:lang w:val="es-AR"/>
        </w:rPr>
      </w:pPr>
      <w:r w:rsidRPr="008B5D7F">
        <w:rPr>
          <w:rFonts w:cstheme="minorHAnsi"/>
          <w:noProof/>
          <w:lang w:val="es-AR" w:eastAsia="es-AR"/>
        </w:rPr>
        <mc:AlternateContent>
          <mc:Choice Requires="wps">
            <w:drawing>
              <wp:anchor distT="0" distB="0" distL="114300" distR="114300" simplePos="0" relativeHeight="251677696" behindDoc="0" locked="0" layoutInCell="1" allowOverlap="1" wp14:anchorId="4C78C518" wp14:editId="46AB2F88">
                <wp:simplePos x="0" y="0"/>
                <wp:positionH relativeFrom="margin">
                  <wp:align>center</wp:align>
                </wp:positionH>
                <wp:positionV relativeFrom="paragraph">
                  <wp:posOffset>6439</wp:posOffset>
                </wp:positionV>
                <wp:extent cx="2315249" cy="435504"/>
                <wp:effectExtent l="0" t="0" r="0" b="0"/>
                <wp:wrapNone/>
                <wp:docPr id="2" name="CuadroTexto 13"/>
                <wp:cNvGraphicFramePr/>
                <a:graphic xmlns:a="http://schemas.openxmlformats.org/drawingml/2006/main">
                  <a:graphicData uri="http://schemas.microsoft.com/office/word/2010/wordprocessingShape">
                    <wps:wsp>
                      <wps:cNvSpPr txBox="1"/>
                      <wps:spPr>
                        <a:xfrm>
                          <a:off x="0" y="0"/>
                          <a:ext cx="2315249" cy="435504"/>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BA87517" w14:textId="77777777" w:rsidR="00EE621F" w:rsidRPr="009936D8" w:rsidRDefault="00EE621F" w:rsidP="009936D8">
                            <w:pPr>
                              <w:pStyle w:val="NormalWeb"/>
                              <w:spacing w:before="0" w:beforeAutospacing="0" w:after="0" w:afterAutospacing="0"/>
                              <w:rPr>
                                <w:sz w:val="22"/>
                                <w:szCs w:val="22"/>
                              </w:rPr>
                            </w:pPr>
                            <m:oMathPara>
                              <m:oMathParaPr>
                                <m:jc m:val="centerGroup"/>
                              </m:oMathParaPr>
                              <m:oMath>
                                <m:sSub>
                                  <m:sSubPr>
                                    <m:ctrlPr>
                                      <w:rPr>
                                        <w:rFonts w:ascii="Cambria Math" w:hAnsi="Cambria Math" w:cstheme="minorBidi"/>
                                        <w:i/>
                                        <w:iCs/>
                                        <w:color w:val="000000" w:themeColor="text1"/>
                                        <w:kern w:val="24"/>
                                        <w:sz w:val="22"/>
                                        <w:szCs w:val="22"/>
                                      </w:rPr>
                                    </m:ctrlPr>
                                  </m:sSubPr>
                                  <m:e>
                                    <m:r>
                                      <w:rPr>
                                        <w:rFonts w:ascii="Cambria Math" w:hAnsi="Cambria Math" w:cstheme="minorBidi"/>
                                        <w:color w:val="000000" w:themeColor="text1"/>
                                        <w:kern w:val="24"/>
                                        <w:sz w:val="22"/>
                                        <w:szCs w:val="22"/>
                                      </w:rPr>
                                      <m:t>EF</m:t>
                                    </m:r>
                                  </m:e>
                                  <m:sub>
                                    <m:r>
                                      <w:rPr>
                                        <w:rFonts w:ascii="Cambria Math" w:hAnsi="Cambria Math" w:cstheme="minorBidi"/>
                                        <w:color w:val="000000" w:themeColor="text1"/>
                                        <w:kern w:val="24"/>
                                        <w:sz w:val="22"/>
                                        <w:szCs w:val="22"/>
                                      </w:rPr>
                                      <m:t>i</m:t>
                                    </m:r>
                                  </m:sub>
                                </m:sSub>
                                <m:r>
                                  <w:rPr>
                                    <w:rFonts w:ascii="Cambria Math" w:hAnsi="Cambria Math" w:cstheme="minorBidi"/>
                                    <w:color w:val="000000" w:themeColor="text1"/>
                                    <w:kern w:val="24"/>
                                    <w:sz w:val="22"/>
                                    <w:szCs w:val="22"/>
                                  </w:rPr>
                                  <m:t>=</m:t>
                                </m:r>
                                <m:f>
                                  <m:fPr>
                                    <m:ctrlPr>
                                      <w:rPr>
                                        <w:rFonts w:ascii="Cambria Math" w:hAnsi="Cambria Math" w:cstheme="minorBidi"/>
                                        <w:i/>
                                        <w:iCs/>
                                        <w:color w:val="000000" w:themeColor="text1"/>
                                        <w:kern w:val="24"/>
                                        <w:sz w:val="22"/>
                                        <w:szCs w:val="22"/>
                                      </w:rPr>
                                    </m:ctrlPr>
                                  </m:fPr>
                                  <m:num>
                                    <m:sSub>
                                      <m:sSubPr>
                                        <m:ctrlPr>
                                          <w:rPr>
                                            <w:rFonts w:ascii="Cambria Math" w:hAnsi="Cambria Math" w:cstheme="minorBidi"/>
                                            <w:i/>
                                            <w:iCs/>
                                            <w:color w:val="000000" w:themeColor="text1"/>
                                            <w:kern w:val="24"/>
                                            <w:sz w:val="22"/>
                                            <w:szCs w:val="22"/>
                                          </w:rPr>
                                        </m:ctrlPr>
                                      </m:sSubPr>
                                      <m:e>
                                        <m:r>
                                          <w:rPr>
                                            <w:rFonts w:ascii="Cambria Math" w:hAnsi="Cambria Math" w:cstheme="minorBidi"/>
                                            <w:color w:val="000000" w:themeColor="text1"/>
                                            <w:kern w:val="24"/>
                                            <w:sz w:val="22"/>
                                            <w:szCs w:val="22"/>
                                          </w:rPr>
                                          <m:t>Base </m:t>
                                        </m:r>
                                      </m:e>
                                      <m:sub>
                                        <m:r>
                                          <w:rPr>
                                            <w:rFonts w:ascii="Cambria Math" w:hAnsi="Cambria Math" w:cstheme="minorBidi"/>
                                            <w:color w:val="000000" w:themeColor="text1"/>
                                            <w:kern w:val="24"/>
                                            <w:sz w:val="22"/>
                                            <w:szCs w:val="22"/>
                                          </w:rPr>
                                          <m:t>promedio</m:t>
                                        </m:r>
                                      </m:sub>
                                    </m:sSub>
                                    <m:r>
                                      <w:rPr>
                                        <w:rFonts w:ascii="Cambria Math" w:hAnsi="Cambria Math" w:cstheme="minorBidi"/>
                                        <w:color w:val="000000" w:themeColor="text1"/>
                                        <w:kern w:val="24"/>
                                        <w:sz w:val="22"/>
                                        <w:szCs w:val="22"/>
                                      </w:rPr>
                                      <m:t>*</m:t>
                                    </m:r>
                                    <m:sSub>
                                      <m:sSubPr>
                                        <m:ctrlPr>
                                          <w:rPr>
                                            <w:rFonts w:ascii="Cambria Math" w:hAnsi="Cambria Math" w:cstheme="minorBidi"/>
                                            <w:i/>
                                            <w:iCs/>
                                            <w:color w:val="000000" w:themeColor="text1"/>
                                            <w:kern w:val="24"/>
                                            <w:sz w:val="22"/>
                                            <w:szCs w:val="22"/>
                                          </w:rPr>
                                        </m:ctrlPr>
                                      </m:sSubPr>
                                      <m:e>
                                        <m:r>
                                          <w:rPr>
                                            <w:rFonts w:ascii="Cambria Math" w:hAnsi="Cambria Math" w:cstheme="minorBidi"/>
                                            <w:color w:val="000000" w:themeColor="text1"/>
                                            <w:kern w:val="24"/>
                                            <w:sz w:val="22"/>
                                            <w:szCs w:val="22"/>
                                          </w:rPr>
                                          <m:t>t</m:t>
                                        </m:r>
                                      </m:e>
                                      <m:sub>
                                        <m:r>
                                          <w:rPr>
                                            <w:rFonts w:ascii="Cambria Math" w:hAnsi="Cambria Math" w:cstheme="minorBidi"/>
                                            <w:color w:val="000000" w:themeColor="text1"/>
                                            <w:kern w:val="24"/>
                                            <w:sz w:val="22"/>
                                            <w:szCs w:val="22"/>
                                          </w:rPr>
                                          <m:t>i</m:t>
                                        </m:r>
                                      </m:sub>
                                    </m:sSub>
                                  </m:num>
                                  <m:den>
                                    <m:sSub>
                                      <m:sSubPr>
                                        <m:ctrlPr>
                                          <w:rPr>
                                            <w:rFonts w:ascii="Cambria Math" w:hAnsi="Cambria Math" w:cstheme="minorBidi"/>
                                            <w:i/>
                                            <w:iCs/>
                                            <w:color w:val="000000" w:themeColor="text1"/>
                                            <w:kern w:val="24"/>
                                            <w:sz w:val="22"/>
                                            <w:szCs w:val="22"/>
                                          </w:rPr>
                                        </m:ctrlPr>
                                      </m:sSubPr>
                                      <m:e>
                                        <m:r>
                                          <w:rPr>
                                            <w:rFonts w:ascii="Cambria Math" w:hAnsi="Cambria Math" w:cstheme="minorBidi"/>
                                            <w:color w:val="000000" w:themeColor="text1"/>
                                            <w:kern w:val="24"/>
                                            <w:sz w:val="22"/>
                                            <w:szCs w:val="22"/>
                                          </w:rPr>
                                          <m:t>Base </m:t>
                                        </m:r>
                                      </m:e>
                                      <m:sub>
                                        <m:r>
                                          <w:rPr>
                                            <w:rFonts w:ascii="Cambria Math" w:hAnsi="Cambria Math" w:cstheme="minorBidi"/>
                                            <w:color w:val="000000" w:themeColor="text1"/>
                                            <w:kern w:val="24"/>
                                            <w:sz w:val="22"/>
                                            <w:szCs w:val="22"/>
                                          </w:rPr>
                                          <m:t>promedio</m:t>
                                        </m:r>
                                      </m:sub>
                                    </m:sSub>
                                    <m:r>
                                      <w:rPr>
                                        <w:rFonts w:ascii="Cambria Math" w:hAnsi="Cambria Math" w:cstheme="minorBidi"/>
                                        <w:color w:val="000000" w:themeColor="text1"/>
                                        <w:kern w:val="24"/>
                                        <w:sz w:val="22"/>
                                        <w:szCs w:val="22"/>
                                      </w:rPr>
                                      <m:t>*</m:t>
                                    </m:r>
                                    <m:sSub>
                                      <m:sSubPr>
                                        <m:ctrlPr>
                                          <w:rPr>
                                            <w:rFonts w:ascii="Cambria Math" w:hAnsi="Cambria Math" w:cstheme="minorBidi"/>
                                            <w:i/>
                                            <w:iCs/>
                                            <w:color w:val="000000" w:themeColor="text1"/>
                                            <w:kern w:val="24"/>
                                            <w:sz w:val="22"/>
                                            <w:szCs w:val="22"/>
                                          </w:rPr>
                                        </m:ctrlPr>
                                      </m:sSubPr>
                                      <m:e>
                                        <m:r>
                                          <w:rPr>
                                            <w:rFonts w:ascii="Cambria Math" w:hAnsi="Cambria Math" w:cstheme="minorBidi"/>
                                            <w:color w:val="000000" w:themeColor="text1"/>
                                            <w:kern w:val="24"/>
                                            <w:sz w:val="22"/>
                                            <w:szCs w:val="22"/>
                                          </w:rPr>
                                          <m:t>t</m:t>
                                        </m:r>
                                      </m:e>
                                      <m:sub>
                                        <m:r>
                                          <w:rPr>
                                            <w:rFonts w:ascii="Cambria Math" w:hAnsi="Cambria Math" w:cstheme="minorBidi"/>
                                            <w:color w:val="000000" w:themeColor="text1"/>
                                            <w:kern w:val="24"/>
                                            <w:sz w:val="22"/>
                                            <w:szCs w:val="22"/>
                                          </w:rPr>
                                          <m:t>promedio</m:t>
                                        </m:r>
                                      </m:sub>
                                    </m:sSub>
                                  </m:den>
                                </m:f>
                              </m:oMath>
                            </m:oMathPara>
                          </w:p>
                        </w:txbxContent>
                      </wps:txbx>
                      <wps:bodyPr wrap="none" lIns="0" tIns="0" rIns="0" bIns="0" rtlCol="0" anchor="t">
                        <a:spAutoFit/>
                      </wps:bodyPr>
                    </wps:wsp>
                  </a:graphicData>
                </a:graphic>
              </wp:anchor>
            </w:drawing>
          </mc:Choice>
          <mc:Fallback>
            <w:pict>
              <v:shape w14:anchorId="4C78C518" id="CuadroTexto 13" o:spid="_x0000_s1027" type="#_x0000_t202" style="position:absolute;left:0;text-align:left;margin-left:0;margin-top:.5pt;width:182.3pt;height:34.3pt;z-index:2516776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WmC/wEAAFIEAAAOAAAAZHJzL2Uyb0RvYy54bWysVNuO0zAQfUfiHyy/06Q3BFHTFXS1CAkB&#10;YpcPcB27iWR7rLHbpH/P2GmyCJ4W8eI647mcOWemu7vBGnZRGDpwNV8uSs6Uk9B07lTzn08Pb95x&#10;FqJwjTDgVM2vKvC7/etXu95XagUtmEYhoyQuVL2veRujr4oiyFZZERbglaNHDWhFpE88FQ2KnrJb&#10;U6zK8m3RAzYeQaoQyHo/PvJ9zq+1kvGb1kFFZmpO2GI+MZ/HdBb7nahOKHzbyRsM8Q8orOgcFZ1T&#10;3Yso2Bm7v1LZTiIE0HEhwRagdSdV7oG6WZZ/dPPYCq9yL0RO8DNN4f+llV8v35F1Tc1XnDlhSaLD&#10;WTQIT2qIwJbrxFDvQ0WOj55c4/ARBlJ6sgcypsYHjTb9UkuM3onr68wvpWKSjKv1crvavOdM0ttm&#10;vd2Wm5SmeI72GOInBZalS82R9Mu0isuXEEfXySUVc/DQGZPsCeIIJd/i1ajkYNwPpam9jCgZgsTT&#10;8WCQjTNAQ0pIp0kgIDkgOWpK/MLYW0iKVnn0Xhg/B+X64OIcbzsHmInIi6FSAxdBIx2HLAQB16P/&#10;RMVIQOIiDschCzxLdoTmSkr2NPU1d7SWnJnPjoYqLch0welynC4YzQHGNRJOtkAMjuIE/+EcSYks&#10;UCo5FrhBocHNEt+WLG3G79/Z6/mvYP8LAAD//wMAUEsDBBQABgAIAAAAIQBomXxe2QAAAAUBAAAP&#10;AAAAZHJzL2Rvd25yZXYueG1sTI/NTsMwEITvSLyDtUjcqMOPTAlxKlSJCzdKhcTNjbdxhL2ObDdN&#10;3p7lBKfV7Kxmvm02c/BiwpSHSBpuVxUIpC7agXoN+4/XmzWIXAxZ4yOhhgUzbNrLi8bUNp7pHadd&#10;6QWHUK6NBlfKWEuZO4fB5FUckdg7xhRMYZl6aZM5c3jw8q6qlAxmIG5wZsStw+57dwoaHufPiGPG&#10;LX4dpy65YVn7t0Xr66v55RlEwbn8HcMvPqNDy0yHeCKbhdfAjxTe8mDzXj0oEAcN6kmBbBv5n779&#10;AQAA//8DAFBLAQItABQABgAIAAAAIQC2gziS/gAAAOEBAAATAAAAAAAAAAAAAAAAAAAAAABbQ29u&#10;dGVudF9UeXBlc10ueG1sUEsBAi0AFAAGAAgAAAAhADj9If/WAAAAlAEAAAsAAAAAAAAAAAAAAAAA&#10;LwEAAF9yZWxzLy5yZWxzUEsBAi0AFAAGAAgAAAAhAMP1aYL/AQAAUgQAAA4AAAAAAAAAAAAAAAAA&#10;LgIAAGRycy9lMm9Eb2MueG1sUEsBAi0AFAAGAAgAAAAhAGiZfF7ZAAAABQEAAA8AAAAAAAAAAAAA&#10;AAAAWQQAAGRycy9kb3ducmV2LnhtbFBLBQYAAAAABAAEAPMAAABfBQAAAAA=&#10;" filled="f" stroked="f">
                <v:textbox style="mso-fit-shape-to-text:t" inset="0,0,0,0">
                  <w:txbxContent>
                    <w:p w14:paraId="6BA87517" w14:textId="77777777" w:rsidR="00EE621F" w:rsidRPr="009936D8" w:rsidRDefault="00EE621F" w:rsidP="009936D8">
                      <w:pPr>
                        <w:pStyle w:val="NormalWeb"/>
                        <w:spacing w:before="0" w:beforeAutospacing="0" w:after="0" w:afterAutospacing="0"/>
                        <w:rPr>
                          <w:sz w:val="22"/>
                          <w:szCs w:val="22"/>
                        </w:rPr>
                      </w:pPr>
                      <m:oMathPara>
                        <m:oMathParaPr>
                          <m:jc m:val="centerGroup"/>
                        </m:oMathParaPr>
                        <m:oMath>
                          <m:sSub>
                            <m:sSubPr>
                              <m:ctrlPr>
                                <w:rPr>
                                  <w:rFonts w:ascii="Cambria Math" w:hAnsi="Cambria Math" w:cstheme="minorBidi"/>
                                  <w:i/>
                                  <w:iCs/>
                                  <w:color w:val="000000" w:themeColor="text1"/>
                                  <w:kern w:val="24"/>
                                  <w:sz w:val="22"/>
                                  <w:szCs w:val="22"/>
                                </w:rPr>
                              </m:ctrlPr>
                            </m:sSubPr>
                            <m:e>
                              <m:r>
                                <w:rPr>
                                  <w:rFonts w:ascii="Cambria Math" w:hAnsi="Cambria Math" w:cstheme="minorBidi"/>
                                  <w:color w:val="000000" w:themeColor="text1"/>
                                  <w:kern w:val="24"/>
                                  <w:sz w:val="22"/>
                                  <w:szCs w:val="22"/>
                                </w:rPr>
                                <m:t>EF</m:t>
                              </m:r>
                            </m:e>
                            <m:sub>
                              <m:r>
                                <w:rPr>
                                  <w:rFonts w:ascii="Cambria Math" w:hAnsi="Cambria Math" w:cstheme="minorBidi"/>
                                  <w:color w:val="000000" w:themeColor="text1"/>
                                  <w:kern w:val="24"/>
                                  <w:sz w:val="22"/>
                                  <w:szCs w:val="22"/>
                                </w:rPr>
                                <m:t>i</m:t>
                              </m:r>
                            </m:sub>
                          </m:sSub>
                          <m:r>
                            <w:rPr>
                              <w:rFonts w:ascii="Cambria Math" w:hAnsi="Cambria Math" w:cstheme="minorBidi"/>
                              <w:color w:val="000000" w:themeColor="text1"/>
                              <w:kern w:val="24"/>
                              <w:sz w:val="22"/>
                              <w:szCs w:val="22"/>
                            </w:rPr>
                            <m:t>=</m:t>
                          </m:r>
                          <m:f>
                            <m:fPr>
                              <m:ctrlPr>
                                <w:rPr>
                                  <w:rFonts w:ascii="Cambria Math" w:hAnsi="Cambria Math" w:cstheme="minorBidi"/>
                                  <w:i/>
                                  <w:iCs/>
                                  <w:color w:val="000000" w:themeColor="text1"/>
                                  <w:kern w:val="24"/>
                                  <w:sz w:val="22"/>
                                  <w:szCs w:val="22"/>
                                </w:rPr>
                              </m:ctrlPr>
                            </m:fPr>
                            <m:num>
                              <m:sSub>
                                <m:sSubPr>
                                  <m:ctrlPr>
                                    <w:rPr>
                                      <w:rFonts w:ascii="Cambria Math" w:hAnsi="Cambria Math" w:cstheme="minorBidi"/>
                                      <w:i/>
                                      <w:iCs/>
                                      <w:color w:val="000000" w:themeColor="text1"/>
                                      <w:kern w:val="24"/>
                                      <w:sz w:val="22"/>
                                      <w:szCs w:val="22"/>
                                    </w:rPr>
                                  </m:ctrlPr>
                                </m:sSubPr>
                                <m:e>
                                  <m:r>
                                    <w:rPr>
                                      <w:rFonts w:ascii="Cambria Math" w:hAnsi="Cambria Math" w:cstheme="minorBidi"/>
                                      <w:color w:val="000000" w:themeColor="text1"/>
                                      <w:kern w:val="24"/>
                                      <w:sz w:val="22"/>
                                      <w:szCs w:val="22"/>
                                    </w:rPr>
                                    <m:t>Base </m:t>
                                  </m:r>
                                </m:e>
                                <m:sub>
                                  <m:r>
                                    <w:rPr>
                                      <w:rFonts w:ascii="Cambria Math" w:hAnsi="Cambria Math" w:cstheme="minorBidi"/>
                                      <w:color w:val="000000" w:themeColor="text1"/>
                                      <w:kern w:val="24"/>
                                      <w:sz w:val="22"/>
                                      <w:szCs w:val="22"/>
                                    </w:rPr>
                                    <m:t>promedio</m:t>
                                  </m:r>
                                </m:sub>
                              </m:sSub>
                              <m:r>
                                <w:rPr>
                                  <w:rFonts w:ascii="Cambria Math" w:hAnsi="Cambria Math" w:cstheme="minorBidi"/>
                                  <w:color w:val="000000" w:themeColor="text1"/>
                                  <w:kern w:val="24"/>
                                  <w:sz w:val="22"/>
                                  <w:szCs w:val="22"/>
                                </w:rPr>
                                <m:t>*</m:t>
                              </m:r>
                              <m:sSub>
                                <m:sSubPr>
                                  <m:ctrlPr>
                                    <w:rPr>
                                      <w:rFonts w:ascii="Cambria Math" w:hAnsi="Cambria Math" w:cstheme="minorBidi"/>
                                      <w:i/>
                                      <w:iCs/>
                                      <w:color w:val="000000" w:themeColor="text1"/>
                                      <w:kern w:val="24"/>
                                      <w:sz w:val="22"/>
                                      <w:szCs w:val="22"/>
                                    </w:rPr>
                                  </m:ctrlPr>
                                </m:sSubPr>
                                <m:e>
                                  <m:r>
                                    <w:rPr>
                                      <w:rFonts w:ascii="Cambria Math" w:hAnsi="Cambria Math" w:cstheme="minorBidi"/>
                                      <w:color w:val="000000" w:themeColor="text1"/>
                                      <w:kern w:val="24"/>
                                      <w:sz w:val="22"/>
                                      <w:szCs w:val="22"/>
                                    </w:rPr>
                                    <m:t>t</m:t>
                                  </m:r>
                                </m:e>
                                <m:sub>
                                  <m:r>
                                    <w:rPr>
                                      <w:rFonts w:ascii="Cambria Math" w:hAnsi="Cambria Math" w:cstheme="minorBidi"/>
                                      <w:color w:val="000000" w:themeColor="text1"/>
                                      <w:kern w:val="24"/>
                                      <w:sz w:val="22"/>
                                      <w:szCs w:val="22"/>
                                    </w:rPr>
                                    <m:t>i</m:t>
                                  </m:r>
                                </m:sub>
                              </m:sSub>
                            </m:num>
                            <m:den>
                              <m:sSub>
                                <m:sSubPr>
                                  <m:ctrlPr>
                                    <w:rPr>
                                      <w:rFonts w:ascii="Cambria Math" w:hAnsi="Cambria Math" w:cstheme="minorBidi"/>
                                      <w:i/>
                                      <w:iCs/>
                                      <w:color w:val="000000" w:themeColor="text1"/>
                                      <w:kern w:val="24"/>
                                      <w:sz w:val="22"/>
                                      <w:szCs w:val="22"/>
                                    </w:rPr>
                                  </m:ctrlPr>
                                </m:sSubPr>
                                <m:e>
                                  <m:r>
                                    <w:rPr>
                                      <w:rFonts w:ascii="Cambria Math" w:hAnsi="Cambria Math" w:cstheme="minorBidi"/>
                                      <w:color w:val="000000" w:themeColor="text1"/>
                                      <w:kern w:val="24"/>
                                      <w:sz w:val="22"/>
                                      <w:szCs w:val="22"/>
                                    </w:rPr>
                                    <m:t>Base </m:t>
                                  </m:r>
                                </m:e>
                                <m:sub>
                                  <m:r>
                                    <w:rPr>
                                      <w:rFonts w:ascii="Cambria Math" w:hAnsi="Cambria Math" w:cstheme="minorBidi"/>
                                      <w:color w:val="000000" w:themeColor="text1"/>
                                      <w:kern w:val="24"/>
                                      <w:sz w:val="22"/>
                                      <w:szCs w:val="22"/>
                                    </w:rPr>
                                    <m:t>promedio</m:t>
                                  </m:r>
                                </m:sub>
                              </m:sSub>
                              <m:r>
                                <w:rPr>
                                  <w:rFonts w:ascii="Cambria Math" w:hAnsi="Cambria Math" w:cstheme="minorBidi"/>
                                  <w:color w:val="000000" w:themeColor="text1"/>
                                  <w:kern w:val="24"/>
                                  <w:sz w:val="22"/>
                                  <w:szCs w:val="22"/>
                                </w:rPr>
                                <m:t>*</m:t>
                              </m:r>
                              <m:sSub>
                                <m:sSubPr>
                                  <m:ctrlPr>
                                    <w:rPr>
                                      <w:rFonts w:ascii="Cambria Math" w:hAnsi="Cambria Math" w:cstheme="minorBidi"/>
                                      <w:i/>
                                      <w:iCs/>
                                      <w:color w:val="000000" w:themeColor="text1"/>
                                      <w:kern w:val="24"/>
                                      <w:sz w:val="22"/>
                                      <w:szCs w:val="22"/>
                                    </w:rPr>
                                  </m:ctrlPr>
                                </m:sSubPr>
                                <m:e>
                                  <m:r>
                                    <w:rPr>
                                      <w:rFonts w:ascii="Cambria Math" w:hAnsi="Cambria Math" w:cstheme="minorBidi"/>
                                      <w:color w:val="000000" w:themeColor="text1"/>
                                      <w:kern w:val="24"/>
                                      <w:sz w:val="22"/>
                                      <w:szCs w:val="22"/>
                                    </w:rPr>
                                    <m:t>t</m:t>
                                  </m:r>
                                </m:e>
                                <m:sub>
                                  <m:r>
                                    <w:rPr>
                                      <w:rFonts w:ascii="Cambria Math" w:hAnsi="Cambria Math" w:cstheme="minorBidi"/>
                                      <w:color w:val="000000" w:themeColor="text1"/>
                                      <w:kern w:val="24"/>
                                      <w:sz w:val="22"/>
                                      <w:szCs w:val="22"/>
                                    </w:rPr>
                                    <m:t>promedio</m:t>
                                  </m:r>
                                </m:sub>
                              </m:sSub>
                            </m:den>
                          </m:f>
                        </m:oMath>
                      </m:oMathPara>
                    </w:p>
                  </w:txbxContent>
                </v:textbox>
                <w10:wrap anchorx="margin"/>
              </v:shape>
            </w:pict>
          </mc:Fallback>
        </mc:AlternateContent>
      </w:r>
    </w:p>
    <w:p w14:paraId="7AB2540D" w14:textId="030B8B8F" w:rsidR="009936D8" w:rsidRPr="008B5D7F" w:rsidRDefault="009936D8" w:rsidP="008B5D7F">
      <w:pPr>
        <w:spacing w:line="240" w:lineRule="auto"/>
        <w:rPr>
          <w:rFonts w:cstheme="minorHAnsi"/>
          <w:lang w:val="es-AR"/>
        </w:rPr>
      </w:pPr>
    </w:p>
    <w:p w14:paraId="5CE86D3A" w14:textId="0AB7818F" w:rsidR="00C05979" w:rsidRPr="008B5D7F" w:rsidRDefault="00D468A8" w:rsidP="008B5D7F">
      <w:pPr>
        <w:spacing w:line="240" w:lineRule="auto"/>
        <w:rPr>
          <w:rFonts w:cstheme="minorHAnsi"/>
          <w:lang w:val="es-AR"/>
        </w:rPr>
      </w:pPr>
      <w:r w:rsidRPr="008B5D7F">
        <w:rPr>
          <w:rFonts w:cstheme="minorHAnsi"/>
          <w:lang w:val="es-AR"/>
        </w:rPr>
        <w:t>Luego</w:t>
      </w:r>
      <w:r w:rsidR="00C05979" w:rsidRPr="008B5D7F">
        <w:rPr>
          <w:rFonts w:cstheme="minorHAnsi"/>
          <w:lang w:val="es-AR"/>
        </w:rPr>
        <w:t xml:space="preserve"> </w:t>
      </w:r>
      <w:r w:rsidR="00553BBA" w:rsidRPr="008B5D7F">
        <w:rPr>
          <w:rFonts w:cstheme="minorHAnsi"/>
          <w:lang w:val="es-AR"/>
        </w:rPr>
        <w:t xml:space="preserve">Ramirez Rodriguez </w:t>
      </w:r>
      <w:r w:rsidR="003636E6" w:rsidRPr="008B5D7F">
        <w:rPr>
          <w:rFonts w:cstheme="minorHAnsi"/>
          <w:lang w:val="es-AR"/>
        </w:rPr>
        <w:t>et al.</w:t>
      </w:r>
      <w:r w:rsidR="00553BBA" w:rsidRPr="008B5D7F">
        <w:rPr>
          <w:rFonts w:cstheme="minorHAnsi"/>
          <w:lang w:val="es-AR"/>
        </w:rPr>
        <w:t xml:space="preserve"> </w:t>
      </w:r>
      <w:r w:rsidR="00C05979" w:rsidRPr="008B5D7F">
        <w:rPr>
          <w:rFonts w:cstheme="minorHAnsi"/>
          <w:lang w:val="es-AR"/>
        </w:rPr>
        <w:t xml:space="preserve">desarrollan su propuesta para el cálculo del esfuerzo fiscal, a través de un modelo de frontera estocástica. </w:t>
      </w:r>
      <w:r w:rsidR="00C05979" w:rsidRPr="008B5D7F">
        <w:rPr>
          <w:rFonts w:cstheme="minorHAnsi"/>
          <w:i/>
          <w:lang w:val="es-AR"/>
        </w:rPr>
        <w:t>“El método paramétrico de frontera estocástica consiste en estimar econométricamente una forma funcional ex ante. Por lo tanto, d</w:t>
      </w:r>
      <w:r w:rsidR="00264C9A" w:rsidRPr="008B5D7F">
        <w:rPr>
          <w:rFonts w:cstheme="minorHAnsi"/>
          <w:i/>
          <w:lang w:val="es-AR"/>
        </w:rPr>
        <w:t>i</w:t>
      </w:r>
      <w:r w:rsidR="00C05979" w:rsidRPr="008B5D7F">
        <w:rPr>
          <w:rFonts w:cstheme="minorHAnsi"/>
          <w:i/>
          <w:lang w:val="es-AR"/>
        </w:rPr>
        <w:t>cha forma es una hipótesis impuesta a los datos que no puede ser contrastada, pero se puede realizar inferencia de los resultados obtenidos”</w:t>
      </w:r>
      <w:r w:rsidR="00C05979" w:rsidRPr="008B5D7F">
        <w:rPr>
          <w:rFonts w:cstheme="minorHAnsi"/>
          <w:lang w:val="es-AR"/>
        </w:rPr>
        <w:t>.</w:t>
      </w:r>
    </w:p>
    <w:p w14:paraId="6A46D869" w14:textId="125B2DCC" w:rsidR="00C05979" w:rsidRPr="008B5D7F" w:rsidRDefault="00C05979" w:rsidP="008B5D7F">
      <w:pPr>
        <w:spacing w:line="240" w:lineRule="auto"/>
        <w:ind w:left="709" w:right="709" w:firstLine="0"/>
        <w:rPr>
          <w:rFonts w:cstheme="minorHAnsi"/>
          <w:lang w:val="es-AR"/>
        </w:rPr>
      </w:pPr>
      <w:r w:rsidRPr="008B5D7F">
        <w:rPr>
          <w:rFonts w:cstheme="minorHAnsi"/>
          <w:lang w:val="es-AR"/>
        </w:rPr>
        <w:t xml:space="preserve">Dentro de las ventajas de este método, encontramos dos atributos: a) la compatibilidad entre el concepto de capacidad tributaria y la estimación del máximo nivel de recaudación fiscal, …, b) la comparación entre la recaudación observada y la potencial permite determinar el nivel de esfuerzo fiscal de cada </w:t>
      </w:r>
      <w:r w:rsidR="00553BBA" w:rsidRPr="008B5D7F">
        <w:rPr>
          <w:rFonts w:cstheme="minorHAnsi"/>
          <w:lang w:val="es-AR"/>
        </w:rPr>
        <w:t>unidad de gobierno.</w:t>
      </w:r>
    </w:p>
    <w:p w14:paraId="14750F71" w14:textId="2F51D788" w:rsidR="004F09E0" w:rsidRPr="008B5D7F" w:rsidRDefault="00C05979" w:rsidP="008B5D7F">
      <w:pPr>
        <w:spacing w:line="240" w:lineRule="auto"/>
        <w:rPr>
          <w:rFonts w:cstheme="minorHAnsi"/>
          <w:lang w:val="es-AR"/>
        </w:rPr>
      </w:pPr>
      <w:r w:rsidRPr="008B5D7F">
        <w:rPr>
          <w:rFonts w:cstheme="minorHAnsi"/>
          <w:lang w:val="es-AR"/>
        </w:rPr>
        <w:t>Para estimar el modelo, utilizan una función tipo Cobb Dougl</w:t>
      </w:r>
      <w:r w:rsidR="00211447" w:rsidRPr="008B5D7F">
        <w:rPr>
          <w:rFonts w:cstheme="minorHAnsi"/>
          <w:lang w:val="es-AR"/>
        </w:rPr>
        <w:t>a</w:t>
      </w:r>
      <w:r w:rsidRPr="008B5D7F">
        <w:rPr>
          <w:rFonts w:cstheme="minorHAnsi"/>
          <w:lang w:val="es-AR"/>
        </w:rPr>
        <w:t xml:space="preserve">s </w:t>
      </w:r>
      <w:r w:rsidRPr="008B5D7F">
        <w:rPr>
          <w:rFonts w:cstheme="minorHAnsi"/>
          <w:i/>
          <w:lang w:val="es-AR"/>
        </w:rPr>
        <w:t>“linealizada a través de logaritmos naturales”</w:t>
      </w:r>
      <w:r w:rsidRPr="008B5D7F">
        <w:rPr>
          <w:rFonts w:cstheme="minorHAnsi"/>
          <w:lang w:val="es-AR"/>
        </w:rPr>
        <w:t>. La variable dependiente es el logaritmo natural de la recaudación, y las variables independientes son los logaritmos naturales del PBG por habitante, la población, la tasa de participación económica, la tasa de empleo informal y la tasa de inflación.</w:t>
      </w:r>
    </w:p>
    <w:p w14:paraId="56672619" w14:textId="58801B55" w:rsidR="007E44EF" w:rsidRPr="008B5D7F" w:rsidRDefault="007E44EF" w:rsidP="008B5D7F">
      <w:pPr>
        <w:spacing w:line="240" w:lineRule="auto"/>
        <w:rPr>
          <w:rFonts w:cstheme="minorHAnsi"/>
          <w:lang w:val="es-AR"/>
        </w:rPr>
      </w:pPr>
      <w:r w:rsidRPr="008B5D7F">
        <w:rPr>
          <w:rFonts w:cstheme="minorHAnsi"/>
          <w:lang w:val="es-AR"/>
        </w:rPr>
        <w:t>Según su estimación,</w:t>
      </w:r>
    </w:p>
    <w:p w14:paraId="7368DBE5" w14:textId="77777777" w:rsidR="007E44EF" w:rsidRPr="008B5D7F" w:rsidRDefault="007E44EF" w:rsidP="008B5D7F">
      <w:pPr>
        <w:spacing w:line="240" w:lineRule="auto"/>
        <w:ind w:left="709" w:right="709" w:firstLine="0"/>
        <w:rPr>
          <w:rFonts w:cstheme="minorHAnsi"/>
          <w:lang w:val="es-AR"/>
        </w:rPr>
      </w:pPr>
      <w:r w:rsidRPr="008B5D7F">
        <w:rPr>
          <w:rFonts w:cstheme="minorHAnsi"/>
          <w:lang w:val="es-AR"/>
        </w:rPr>
        <w:t xml:space="preserve">Las variables socioeconómicas juegan un papel importante en la determinación de la capacidad fiscal de los estados en su conjunto, es el caso del PIBE por habitante, la población y la tasa de actividad, que tienen un efecto positivo y altamente significativo sobre la recaudación de impuestos. Sin embargo, la tasa de empleo informal y la inflación tienen un efecto negativo en la fiscalidad, aunque no podemos afirmar que sea estadísticamente significativo. </w:t>
      </w:r>
    </w:p>
    <w:p w14:paraId="60280AF0" w14:textId="77777777" w:rsidR="007E44EF" w:rsidRPr="008B5D7F" w:rsidRDefault="007E44EF" w:rsidP="008B5D7F">
      <w:pPr>
        <w:spacing w:line="240" w:lineRule="auto"/>
        <w:ind w:left="709" w:right="709" w:firstLine="0"/>
        <w:rPr>
          <w:rFonts w:cstheme="minorHAnsi"/>
          <w:lang w:val="es-AR"/>
        </w:rPr>
      </w:pPr>
      <w:r w:rsidRPr="008B5D7F">
        <w:rPr>
          <w:rFonts w:cstheme="minorHAnsi"/>
          <w:lang w:val="es-AR"/>
        </w:rPr>
        <w:t>Esta situación refleja que la capacidad fiscal está asociada a un mayor nivel de población y que las zonas metropolitanas tienden a concentrar una mayor capacidad fiscal que el resto de los estados de menor tamaño.</w:t>
      </w:r>
    </w:p>
    <w:p w14:paraId="402E0DC2" w14:textId="2B6125C5" w:rsidR="007E44EF" w:rsidRPr="008B5D7F" w:rsidRDefault="007E44EF" w:rsidP="008B5D7F">
      <w:pPr>
        <w:spacing w:line="240" w:lineRule="auto"/>
        <w:ind w:left="709" w:right="709" w:firstLine="0"/>
        <w:rPr>
          <w:rFonts w:cstheme="minorHAnsi"/>
          <w:lang w:val="es-AR"/>
        </w:rPr>
      </w:pPr>
      <w:r w:rsidRPr="008B5D7F">
        <w:rPr>
          <w:rFonts w:cstheme="minorHAnsi"/>
          <w:lang w:val="es-AR"/>
        </w:rPr>
        <w:lastRenderedPageBreak/>
        <w:t xml:space="preserve">El modelo de regresión que mejor se ajusta a los datos de capacidad y población es </w:t>
      </w:r>
      <w:r w:rsidR="00553BBA" w:rsidRPr="008B5D7F">
        <w:rPr>
          <w:rFonts w:cstheme="minorHAnsi"/>
          <w:lang w:val="es-AR"/>
        </w:rPr>
        <w:t>la forma funcional cuadrática. ...</w:t>
      </w:r>
      <w:r w:rsidRPr="008B5D7F">
        <w:rPr>
          <w:rFonts w:cstheme="minorHAnsi"/>
          <w:lang w:val="es-AR"/>
        </w:rPr>
        <w:t xml:space="preserve"> Por esa razón se considera q</w:t>
      </w:r>
      <w:r w:rsidR="0035263B" w:rsidRPr="008B5D7F">
        <w:rPr>
          <w:rFonts w:cstheme="minorHAnsi"/>
          <w:lang w:val="es-AR"/>
        </w:rPr>
        <w:t>ue la población es una variable</w:t>
      </w:r>
      <w:r w:rsidRPr="008B5D7F">
        <w:rPr>
          <w:rFonts w:cstheme="minorHAnsi"/>
          <w:lang w:val="es-AR"/>
        </w:rPr>
        <w:t xml:space="preserve"> proxy de la capacidad fiscal. (Ram</w:t>
      </w:r>
      <w:r w:rsidR="00BD1ED9" w:rsidRPr="008B5D7F">
        <w:rPr>
          <w:rFonts w:cstheme="minorHAnsi"/>
          <w:lang w:val="es-AR"/>
        </w:rPr>
        <w:t>ír</w:t>
      </w:r>
      <w:r w:rsidRPr="008B5D7F">
        <w:rPr>
          <w:rFonts w:cstheme="minorHAnsi"/>
          <w:lang w:val="es-AR"/>
        </w:rPr>
        <w:t>ez Rodriguez</w:t>
      </w:r>
      <w:r w:rsidR="00BD1ED9" w:rsidRPr="008B5D7F">
        <w:rPr>
          <w:rFonts w:cstheme="minorHAnsi"/>
          <w:lang w:val="es-AR"/>
        </w:rPr>
        <w:t xml:space="preserve"> </w:t>
      </w:r>
      <w:r w:rsidR="003636E6" w:rsidRPr="008B5D7F">
        <w:rPr>
          <w:rFonts w:cstheme="minorHAnsi"/>
          <w:lang w:val="es-AR"/>
        </w:rPr>
        <w:t>et al.</w:t>
      </w:r>
      <w:r w:rsidRPr="008B5D7F">
        <w:rPr>
          <w:rFonts w:cstheme="minorHAnsi"/>
          <w:lang w:val="es-AR"/>
        </w:rPr>
        <w:t>,</w:t>
      </w:r>
      <w:r w:rsidR="00553BBA" w:rsidRPr="008B5D7F">
        <w:rPr>
          <w:rFonts w:cstheme="minorHAnsi"/>
          <w:lang w:val="es-AR"/>
        </w:rPr>
        <w:t xml:space="preserve"> 2011</w:t>
      </w:r>
      <w:r w:rsidRPr="008B5D7F">
        <w:rPr>
          <w:rFonts w:cstheme="minorHAnsi"/>
          <w:lang w:val="es-AR"/>
        </w:rPr>
        <w:t>)</w:t>
      </w:r>
      <w:r w:rsidR="00BD1ED9" w:rsidRPr="008B5D7F">
        <w:rPr>
          <w:rFonts w:cstheme="minorHAnsi"/>
          <w:lang w:val="es-AR"/>
        </w:rPr>
        <w:t>.</w:t>
      </w:r>
    </w:p>
    <w:p w14:paraId="04E80FF3" w14:textId="0182F7AE" w:rsidR="00B350C0" w:rsidRPr="008B5D7F" w:rsidRDefault="009936D8" w:rsidP="008B5D7F">
      <w:pPr>
        <w:spacing w:line="240" w:lineRule="auto"/>
        <w:rPr>
          <w:rFonts w:cstheme="minorHAnsi"/>
          <w:lang w:val="es-AR"/>
        </w:rPr>
      </w:pPr>
      <w:r w:rsidRPr="008B5D7F">
        <w:rPr>
          <w:rFonts w:cstheme="minorHAnsi"/>
          <w:lang w:val="es-AR"/>
        </w:rPr>
        <w:t xml:space="preserve">Para el caso del análisis de la capacidad y esfuerzo fiscal de gobiernos subnacionales en Argentina, se encontró el trabajo desarrollado por Díaz (2014) “Las instituciones y otros determinantes del Esfuerzo Fiscal de los Municipios Argentinos”. </w:t>
      </w:r>
      <w:r w:rsidR="0095413F" w:rsidRPr="008B5D7F">
        <w:rPr>
          <w:rFonts w:cstheme="minorHAnsi"/>
          <w:lang w:val="es-AR"/>
        </w:rPr>
        <w:t>El autor propone el trabajo con datos de panel para el periodo 2008-2012. Primero analiza las finanzas de los municipios argentinos para, a continuación, avanzar sobre la recaudación de los gobiernos subnacionales y sobre estudios teóricos sobre el esfuerzo fiscal.</w:t>
      </w:r>
    </w:p>
    <w:p w14:paraId="4FEC37CF" w14:textId="78F0FAC1" w:rsidR="0095413F" w:rsidRPr="008B5D7F" w:rsidRDefault="0095413F" w:rsidP="008B5D7F">
      <w:pPr>
        <w:spacing w:line="240" w:lineRule="auto"/>
        <w:rPr>
          <w:rFonts w:cstheme="minorHAnsi"/>
          <w:lang w:val="es-AR"/>
        </w:rPr>
      </w:pPr>
      <w:r w:rsidRPr="008B5D7F">
        <w:rPr>
          <w:rFonts w:cstheme="minorHAnsi"/>
          <w:lang w:val="es-AR"/>
        </w:rPr>
        <w:t>Díaz propone trabajar con datos de panel ya que</w:t>
      </w:r>
      <w:r w:rsidR="003636E6" w:rsidRPr="008B5D7F">
        <w:rPr>
          <w:rFonts w:cstheme="minorHAnsi"/>
          <w:lang w:val="es-AR"/>
        </w:rPr>
        <w:t>,</w:t>
      </w:r>
      <w:r w:rsidRPr="008B5D7F">
        <w:rPr>
          <w:rFonts w:cstheme="minorHAnsi"/>
          <w:lang w:val="es-AR"/>
        </w:rPr>
        <w:t xml:space="preserve"> </w:t>
      </w:r>
      <w:r w:rsidR="003636E6" w:rsidRPr="008B5D7F">
        <w:rPr>
          <w:rFonts w:cstheme="minorHAnsi"/>
          <w:lang w:val="es-AR"/>
        </w:rPr>
        <w:t>haciendo referencia al trabajo de</w:t>
      </w:r>
      <w:r w:rsidRPr="008B5D7F">
        <w:rPr>
          <w:rFonts w:cstheme="minorHAnsi"/>
          <w:lang w:val="es-AR"/>
        </w:rPr>
        <w:t xml:space="preserve"> Baltagui (2005), </w:t>
      </w:r>
      <w:r w:rsidRPr="008B5D7F">
        <w:rPr>
          <w:rFonts w:cstheme="minorHAnsi"/>
          <w:i/>
          <w:lang w:val="es-AR"/>
        </w:rPr>
        <w:t>“las ventajas de utilizar datos de panel se encuentran en que permiten controlar por la “heterogeneidad no observable” o “heterogeneidad individual”, es decir por diferencias de los individuos, en este caso municipios, que pueden ser persistentes en el tiempo y no siempre medibles”</w:t>
      </w:r>
      <w:r w:rsidRPr="008B5D7F">
        <w:rPr>
          <w:rFonts w:cstheme="minorHAnsi"/>
          <w:lang w:val="es-AR"/>
        </w:rPr>
        <w:t>.</w:t>
      </w:r>
    </w:p>
    <w:p w14:paraId="384B0A10" w14:textId="77777777" w:rsidR="006F3A8D" w:rsidRPr="008B5D7F" w:rsidRDefault="00AC5248" w:rsidP="008B5D7F">
      <w:pPr>
        <w:spacing w:line="240" w:lineRule="auto"/>
        <w:rPr>
          <w:rFonts w:cstheme="minorHAnsi"/>
          <w:lang w:val="es-AR"/>
        </w:rPr>
      </w:pPr>
      <w:r w:rsidRPr="008B5D7F">
        <w:rPr>
          <w:rFonts w:cstheme="minorHAnsi"/>
          <w:lang w:val="es-AR"/>
        </w:rPr>
        <w:t>Para el cálculo del esfuerzo fiscal de los municipios</w:t>
      </w:r>
      <w:r w:rsidR="003A43F9" w:rsidRPr="008B5D7F">
        <w:rPr>
          <w:rFonts w:cstheme="minorHAnsi"/>
          <w:lang w:val="es-AR"/>
        </w:rPr>
        <w:t xml:space="preserve"> el autor propone </w:t>
      </w:r>
      <w:r w:rsidR="003A43F9" w:rsidRPr="008B5D7F">
        <w:rPr>
          <w:rFonts w:cstheme="minorHAnsi"/>
          <w:i/>
          <w:lang w:val="es-AR"/>
        </w:rPr>
        <w:t>“estimar el comportamiento de los ingresos propios per cápita, en base a la estimación por efectos fijos”</w:t>
      </w:r>
      <w:r w:rsidR="003A43F9" w:rsidRPr="008B5D7F">
        <w:rPr>
          <w:rFonts w:cstheme="minorHAnsi"/>
          <w:lang w:val="es-AR"/>
        </w:rPr>
        <w:t>.</w:t>
      </w:r>
      <w:r w:rsidR="006F3A8D" w:rsidRPr="008B5D7F">
        <w:rPr>
          <w:rFonts w:cstheme="minorHAnsi"/>
          <w:lang w:val="es-AR"/>
        </w:rPr>
        <w:t xml:space="preserve"> </w:t>
      </w:r>
    </w:p>
    <w:p w14:paraId="68411166" w14:textId="31CDDFC8" w:rsidR="00AC5248" w:rsidRPr="008B5D7F" w:rsidRDefault="006F3A8D" w:rsidP="008B5D7F">
      <w:pPr>
        <w:spacing w:line="240" w:lineRule="auto"/>
        <w:rPr>
          <w:rFonts w:cstheme="minorHAnsi"/>
          <w:lang w:val="es-AR"/>
        </w:rPr>
      </w:pPr>
      <w:r w:rsidRPr="008B5D7F">
        <w:rPr>
          <w:rFonts w:cstheme="minorHAnsi"/>
          <w:lang w:val="es-AR"/>
        </w:rPr>
        <w:t xml:space="preserve">Entre sus conclusiones se puede mencionar que en el periodo bajo análisis en general los municipios recaudaron menos que su potencial, y que </w:t>
      </w:r>
      <w:r w:rsidRPr="008B5D7F">
        <w:rPr>
          <w:rFonts w:cstheme="minorHAnsi"/>
          <w:i/>
          <w:lang w:val="es-AR"/>
        </w:rPr>
        <w:t>“el esfuerzo fiscal ha ido decreciendo en el tiempo y parece difícil para los municipios salir de una situación recaudatoria determinada, indicando que es importante lograr el correcto funcionamiento recaudatorio”</w:t>
      </w:r>
      <w:r w:rsidRPr="008B5D7F">
        <w:rPr>
          <w:rFonts w:cstheme="minorHAnsi"/>
          <w:lang w:val="es-AR"/>
        </w:rPr>
        <w:t>.</w:t>
      </w:r>
    </w:p>
    <w:p w14:paraId="5FFB9AC0" w14:textId="6F87BDB7" w:rsidR="006F3A8D" w:rsidRPr="008B5D7F" w:rsidRDefault="004E0F08" w:rsidP="008B5D7F">
      <w:pPr>
        <w:spacing w:line="240" w:lineRule="auto"/>
        <w:rPr>
          <w:rFonts w:cstheme="minorHAnsi"/>
          <w:lang w:val="es-AR"/>
        </w:rPr>
      </w:pPr>
      <w:r w:rsidRPr="008B5D7F">
        <w:rPr>
          <w:rFonts w:cstheme="minorHAnsi"/>
          <w:lang w:val="es-AR"/>
        </w:rPr>
        <w:t xml:space="preserve">Si bien </w:t>
      </w:r>
      <w:r w:rsidR="00D609E6" w:rsidRPr="008B5D7F">
        <w:rPr>
          <w:rFonts w:cstheme="minorHAnsi"/>
          <w:lang w:val="es-AR"/>
        </w:rPr>
        <w:t>existen más</w:t>
      </w:r>
      <w:r w:rsidRPr="008B5D7F">
        <w:rPr>
          <w:rFonts w:cstheme="minorHAnsi"/>
          <w:lang w:val="es-AR"/>
        </w:rPr>
        <w:t xml:space="preserve"> contribuciones a la</w:t>
      </w:r>
      <w:r w:rsidR="00D609E6" w:rsidRPr="008B5D7F">
        <w:rPr>
          <w:rFonts w:cstheme="minorHAnsi"/>
          <w:lang w:val="es-AR"/>
        </w:rPr>
        <w:t>s</w:t>
      </w:r>
      <w:r w:rsidRPr="008B5D7F">
        <w:rPr>
          <w:rFonts w:cstheme="minorHAnsi"/>
          <w:lang w:val="es-AR"/>
        </w:rPr>
        <w:t xml:space="preserve"> temáticas de esfuerzo y capacidad fiscal</w:t>
      </w:r>
      <w:r w:rsidR="00D609E6" w:rsidRPr="008B5D7F">
        <w:rPr>
          <w:rFonts w:cstheme="minorHAnsi"/>
          <w:lang w:val="es-AR"/>
        </w:rPr>
        <w:t xml:space="preserve"> en la bibliografía existente, la revisión desarrollada en </w:t>
      </w:r>
      <w:r w:rsidRPr="008B5D7F">
        <w:rPr>
          <w:rFonts w:cstheme="minorHAnsi"/>
          <w:lang w:val="es-AR"/>
        </w:rPr>
        <w:t xml:space="preserve">este capítulo </w:t>
      </w:r>
      <w:r w:rsidR="00D609E6" w:rsidRPr="008B5D7F">
        <w:rPr>
          <w:rFonts w:cstheme="minorHAnsi"/>
          <w:lang w:val="es-AR"/>
        </w:rPr>
        <w:t>engloba en términos generales los avances hasta la fecha, principalmente aquellos avocados al trabajo con gobiernos subnacionales.</w:t>
      </w:r>
    </w:p>
    <w:p w14:paraId="458610BD" w14:textId="511423EC" w:rsidR="00D609E6" w:rsidRPr="008B5D7F" w:rsidRDefault="00D609E6" w:rsidP="008B5D7F">
      <w:pPr>
        <w:spacing w:line="240" w:lineRule="auto"/>
        <w:rPr>
          <w:rFonts w:cstheme="minorHAnsi"/>
          <w:lang w:val="es-AR"/>
        </w:rPr>
      </w:pPr>
      <w:r w:rsidRPr="008B5D7F">
        <w:rPr>
          <w:rFonts w:cstheme="minorHAnsi"/>
          <w:lang w:val="es-AR"/>
        </w:rPr>
        <w:t>A partir del análisis de la bibliografía consultada se puede observar cierta dificultad para definir relaciones presentes entre esfuerzo y capacidad fiscal y distintas variables, debido a la gran divergencia de los resultados obtenidos a partir de la aplicación de distintas metodologías y estadísticas utilizadas para sus cálculos.</w:t>
      </w:r>
    </w:p>
    <w:p w14:paraId="2513DFA4" w14:textId="7475A334" w:rsidR="00D609E6" w:rsidRPr="008B5D7F" w:rsidRDefault="009C0028" w:rsidP="008B5D7F">
      <w:pPr>
        <w:spacing w:line="240" w:lineRule="auto"/>
        <w:rPr>
          <w:rFonts w:cstheme="minorHAnsi"/>
          <w:lang w:val="es-AR"/>
        </w:rPr>
      </w:pPr>
      <w:r w:rsidRPr="008B5D7F">
        <w:rPr>
          <w:rFonts w:cstheme="minorHAnsi"/>
          <w:lang w:val="es-AR"/>
        </w:rPr>
        <w:t>Se podría decir que existe cierto consenso en las definiciones teóricas de esfuerzo y capacidad fiscal, pero no ocurre esto al momento de realizar los cálculos empíricos para estimarlos. Se podría decir que la mayor complicación al momento de realizar las estimaciones se debe a la definición empírica que se adapte de la capacidad fiscal. El esfuerzo fiscal se calcula en la bibliografía existente a través del cálculo de ratios, índices de esfuerzo fiscal relativo o de estimaciones econométricas, que pueden llegar a adquirir la complejidad de estimaciones de frontera estocástica.</w:t>
      </w:r>
    </w:p>
    <w:p w14:paraId="21C3B7F9" w14:textId="57574D5B" w:rsidR="00C917E8" w:rsidRPr="00A774CA" w:rsidRDefault="00A774CA" w:rsidP="008B5D7F">
      <w:pPr>
        <w:pStyle w:val="Ttulo1"/>
        <w:spacing w:before="60" w:after="60"/>
        <w:ind w:firstLine="0"/>
        <w:rPr>
          <w:lang w:val="es-AR"/>
        </w:rPr>
      </w:pPr>
      <w:bookmarkStart w:id="2" w:name="_Toc491725410"/>
      <w:r w:rsidRPr="00A774CA">
        <w:rPr>
          <w:lang w:val="es-AR"/>
        </w:rPr>
        <w:t xml:space="preserve">CAPÍTULO II: </w:t>
      </w:r>
      <w:r w:rsidR="009867D0" w:rsidRPr="00A774CA">
        <w:rPr>
          <w:lang w:val="es-AR"/>
        </w:rPr>
        <w:t>ESFUERZO Y CAPACIDAD FISCAL DE LAS PROVINCIAS ARGENTINAS</w:t>
      </w:r>
      <w:bookmarkEnd w:id="2"/>
    </w:p>
    <w:p w14:paraId="6C758779" w14:textId="03158DA8" w:rsidR="00C917E8" w:rsidRPr="0030524B" w:rsidRDefault="00585557" w:rsidP="008B5D7F">
      <w:pPr>
        <w:spacing w:line="240" w:lineRule="auto"/>
        <w:rPr>
          <w:lang w:val="es-AR"/>
        </w:rPr>
      </w:pPr>
      <w:r w:rsidRPr="0030524B">
        <w:rPr>
          <w:lang w:val="es-AR"/>
        </w:rPr>
        <w:t xml:space="preserve">Por medio del presente trabajo se busca determinar el </w:t>
      </w:r>
      <w:r w:rsidR="00F7124A" w:rsidRPr="0030524B">
        <w:rPr>
          <w:lang w:val="es-AR"/>
        </w:rPr>
        <w:t>Esfuerzo F</w:t>
      </w:r>
      <w:r w:rsidRPr="0030524B">
        <w:rPr>
          <w:lang w:val="es-AR"/>
        </w:rPr>
        <w:t>iscal</w:t>
      </w:r>
      <w:r w:rsidR="00F7124A" w:rsidRPr="0030524B">
        <w:rPr>
          <w:lang w:val="es-AR"/>
        </w:rPr>
        <w:t xml:space="preserve"> (EF)</w:t>
      </w:r>
      <w:r w:rsidRPr="0030524B">
        <w:rPr>
          <w:lang w:val="es-AR"/>
        </w:rPr>
        <w:t xml:space="preserve"> y la </w:t>
      </w:r>
      <w:r w:rsidR="00F7124A" w:rsidRPr="0030524B">
        <w:rPr>
          <w:lang w:val="es-AR"/>
        </w:rPr>
        <w:t>C</w:t>
      </w:r>
      <w:r w:rsidRPr="0030524B">
        <w:rPr>
          <w:lang w:val="es-AR"/>
        </w:rPr>
        <w:t xml:space="preserve">apacidad </w:t>
      </w:r>
      <w:r w:rsidR="00F7124A" w:rsidRPr="0030524B">
        <w:rPr>
          <w:lang w:val="es-AR"/>
        </w:rPr>
        <w:t>F</w:t>
      </w:r>
      <w:r w:rsidRPr="0030524B">
        <w:rPr>
          <w:lang w:val="es-AR"/>
        </w:rPr>
        <w:t>iscal</w:t>
      </w:r>
      <w:r w:rsidR="00F7124A" w:rsidRPr="0030524B">
        <w:rPr>
          <w:lang w:val="es-AR"/>
        </w:rPr>
        <w:t xml:space="preserve"> (CF)</w:t>
      </w:r>
      <w:r w:rsidRPr="0030524B">
        <w:rPr>
          <w:lang w:val="es-AR"/>
        </w:rPr>
        <w:t xml:space="preserve"> de las provincias</w:t>
      </w:r>
      <w:r w:rsidR="00667625" w:rsidRPr="0030524B">
        <w:rPr>
          <w:lang w:val="es-AR"/>
        </w:rPr>
        <w:t xml:space="preserve"> argentinas en los últimos veinte</w:t>
      </w:r>
      <w:r w:rsidRPr="0030524B">
        <w:rPr>
          <w:lang w:val="es-AR"/>
        </w:rPr>
        <w:t xml:space="preserve"> años</w:t>
      </w:r>
      <w:r w:rsidR="00F7124A" w:rsidRPr="0030524B">
        <w:rPr>
          <w:lang w:val="es-AR"/>
        </w:rPr>
        <w:t xml:space="preserve"> (1993 a 2014)</w:t>
      </w:r>
      <w:r w:rsidRPr="0030524B">
        <w:rPr>
          <w:lang w:val="es-AR"/>
        </w:rPr>
        <w:t xml:space="preserve">, determinando cuáles variables son las adecuadas para formular los indicadores en el caso de las provincias argentinas, así como también analizar los cambios en esfuerzo fiscal de cada provincia argentina en </w:t>
      </w:r>
      <w:r w:rsidR="00600A97" w:rsidRPr="0030524B">
        <w:rPr>
          <w:lang w:val="es-AR"/>
        </w:rPr>
        <w:t>el periodo bajo estudio</w:t>
      </w:r>
      <w:r w:rsidRPr="0030524B">
        <w:rPr>
          <w:lang w:val="es-AR"/>
        </w:rPr>
        <w:t>.</w:t>
      </w:r>
    </w:p>
    <w:p w14:paraId="530215BD" w14:textId="611A1079" w:rsidR="00585557" w:rsidRPr="004E10B7" w:rsidRDefault="00585557" w:rsidP="008B5D7F">
      <w:pPr>
        <w:spacing w:line="240" w:lineRule="auto"/>
        <w:rPr>
          <w:lang w:val="es-AR"/>
        </w:rPr>
      </w:pPr>
      <w:r w:rsidRPr="004E10B7">
        <w:rPr>
          <w:lang w:val="es-AR"/>
        </w:rPr>
        <w:t xml:space="preserve">También se busca comparar el esfuerzo fiscal entre provincias y determinar cuáles son las que presentan bajos niveles de </w:t>
      </w:r>
      <w:r w:rsidR="00F7124A" w:rsidRPr="004E10B7">
        <w:rPr>
          <w:lang w:val="es-AR"/>
        </w:rPr>
        <w:t>EF</w:t>
      </w:r>
      <w:r w:rsidRPr="004E10B7">
        <w:rPr>
          <w:lang w:val="es-AR"/>
        </w:rPr>
        <w:t xml:space="preserve"> y cuáles alto</w:t>
      </w:r>
      <w:r w:rsidR="00F7124A" w:rsidRPr="004E10B7">
        <w:rPr>
          <w:lang w:val="es-AR"/>
        </w:rPr>
        <w:t>, relativo al resto de las provincias. Se aclara que durante el desarrollo del presente trabajo</w:t>
      </w:r>
      <w:r w:rsidR="006B3E3B" w:rsidRPr="004E10B7">
        <w:rPr>
          <w:lang w:val="es-AR"/>
        </w:rPr>
        <w:t xml:space="preserve"> </w:t>
      </w:r>
      <w:r w:rsidR="00F7124A" w:rsidRPr="004E10B7">
        <w:rPr>
          <w:lang w:val="es-AR"/>
        </w:rPr>
        <w:t xml:space="preserve">cuando se hace referencia a las provincias argentinas se </w:t>
      </w:r>
      <w:r w:rsidR="00F7124A" w:rsidRPr="004E10B7">
        <w:rPr>
          <w:lang w:val="es-AR"/>
        </w:rPr>
        <w:lastRenderedPageBreak/>
        <w:t>incluye a la Ciudad Autónoma de Buenos Aires, y por tanto el total de individuos bajo análisis es 24</w:t>
      </w:r>
      <w:r w:rsidR="00C21A34" w:rsidRPr="004E10B7">
        <w:rPr>
          <w:lang w:val="es-AR"/>
        </w:rPr>
        <w:t xml:space="preserve"> (23 provincias y CABA)</w:t>
      </w:r>
      <w:r w:rsidR="00F7124A" w:rsidRPr="004E10B7">
        <w:rPr>
          <w:lang w:val="es-AR"/>
        </w:rPr>
        <w:t>.</w:t>
      </w:r>
    </w:p>
    <w:p w14:paraId="456CF187" w14:textId="1DBECA6E" w:rsidR="00C917E8" w:rsidRPr="004E10B7" w:rsidRDefault="006270B7" w:rsidP="008B5D7F">
      <w:pPr>
        <w:spacing w:before="120" w:after="120" w:line="240" w:lineRule="auto"/>
        <w:rPr>
          <w:rFonts w:cstheme="minorHAnsi"/>
          <w:lang w:val="es-AR"/>
        </w:rPr>
      </w:pPr>
      <w:r w:rsidRPr="004E10B7">
        <w:rPr>
          <w:rFonts w:cstheme="minorHAnsi"/>
          <w:lang w:val="es-AR"/>
        </w:rPr>
        <w:t xml:space="preserve">Posteriormente al cálculo </w:t>
      </w:r>
      <w:r w:rsidR="00C9638A" w:rsidRPr="004E10B7">
        <w:rPr>
          <w:rFonts w:cstheme="minorHAnsi"/>
          <w:lang w:val="es-AR"/>
        </w:rPr>
        <w:t>del</w:t>
      </w:r>
      <w:r w:rsidR="0037204D" w:rsidRPr="004E10B7">
        <w:rPr>
          <w:rFonts w:cstheme="minorHAnsi"/>
          <w:lang w:val="es-AR"/>
        </w:rPr>
        <w:t xml:space="preserve"> EF y CF, se buscará probar </w:t>
      </w:r>
      <w:r w:rsidRPr="004E10B7">
        <w:rPr>
          <w:rFonts w:cstheme="minorHAnsi"/>
          <w:lang w:val="es-AR"/>
        </w:rPr>
        <w:t>las siguientes hipótesis:</w:t>
      </w:r>
    </w:p>
    <w:p w14:paraId="74F9A321" w14:textId="77777777" w:rsidR="00C917E8" w:rsidRPr="004E10B7" w:rsidRDefault="00C917E8" w:rsidP="008B5D7F">
      <w:pPr>
        <w:pStyle w:val="Prrafodelista"/>
        <w:numPr>
          <w:ilvl w:val="0"/>
          <w:numId w:val="2"/>
        </w:numPr>
        <w:spacing w:before="120" w:after="120" w:line="240" w:lineRule="auto"/>
        <w:ind w:firstLine="709"/>
        <w:rPr>
          <w:rFonts w:cstheme="minorHAnsi"/>
          <w:lang w:val="es-AR"/>
        </w:rPr>
      </w:pPr>
      <w:r w:rsidRPr="004E10B7">
        <w:rPr>
          <w:rFonts w:cstheme="minorHAnsi"/>
          <w:lang w:val="es-AR"/>
        </w:rPr>
        <w:t>Las provincias con mayores ingresos propios tienen mayor capacidad fiscal.</w:t>
      </w:r>
    </w:p>
    <w:p w14:paraId="27F40CCB" w14:textId="77777777" w:rsidR="00C917E8" w:rsidRPr="004E10B7" w:rsidRDefault="00C917E8" w:rsidP="008B5D7F">
      <w:pPr>
        <w:pStyle w:val="Prrafodelista"/>
        <w:numPr>
          <w:ilvl w:val="0"/>
          <w:numId w:val="2"/>
        </w:numPr>
        <w:spacing w:before="120" w:after="120" w:line="240" w:lineRule="auto"/>
        <w:ind w:firstLine="709"/>
        <w:rPr>
          <w:rFonts w:cstheme="minorHAnsi"/>
          <w:lang w:val="es-AR"/>
        </w:rPr>
      </w:pPr>
      <w:r w:rsidRPr="004E10B7">
        <w:rPr>
          <w:rFonts w:cstheme="minorHAnsi"/>
          <w:lang w:val="es-AR"/>
        </w:rPr>
        <w:t>Existe una relación negativa entre las transferencias no condicionadas y el esfuerzo fiscal.</w:t>
      </w:r>
    </w:p>
    <w:p w14:paraId="589B9F7C" w14:textId="56B8BC0E" w:rsidR="00C917E8" w:rsidRPr="004E10B7" w:rsidRDefault="00C917E8" w:rsidP="008B5D7F">
      <w:pPr>
        <w:pStyle w:val="Prrafodelista"/>
        <w:numPr>
          <w:ilvl w:val="0"/>
          <w:numId w:val="2"/>
        </w:numPr>
        <w:spacing w:before="120" w:after="120" w:line="240" w:lineRule="auto"/>
        <w:ind w:firstLine="709"/>
        <w:rPr>
          <w:rFonts w:cstheme="minorHAnsi"/>
          <w:lang w:val="es-AR"/>
        </w:rPr>
      </w:pPr>
      <w:r w:rsidRPr="004E10B7">
        <w:rPr>
          <w:rFonts w:cstheme="minorHAnsi"/>
          <w:lang w:val="es-AR"/>
        </w:rPr>
        <w:t>Las provincias con mayor capacidad fiscal no hacen el mayor esfuerzo fiscal.</w:t>
      </w:r>
    </w:p>
    <w:p w14:paraId="1B7E8F03" w14:textId="183B0414" w:rsidR="007B38DD" w:rsidRPr="004E10B7" w:rsidRDefault="007B38DD" w:rsidP="008B5D7F">
      <w:pPr>
        <w:spacing w:before="120" w:after="120" w:line="240" w:lineRule="auto"/>
        <w:rPr>
          <w:rFonts w:cstheme="minorHAnsi"/>
          <w:lang w:val="es-AR"/>
        </w:rPr>
      </w:pPr>
      <w:r w:rsidRPr="004E10B7">
        <w:rPr>
          <w:rFonts w:cstheme="minorHAnsi"/>
          <w:lang w:val="es-AR"/>
        </w:rPr>
        <w:t xml:space="preserve">En este capítulo se presenta en primera instancia el cálculo de ratios de EF y CF, describiendo las </w:t>
      </w:r>
      <w:r w:rsidR="00F30112" w:rsidRPr="004E10B7">
        <w:rPr>
          <w:rFonts w:cstheme="minorHAnsi"/>
          <w:lang w:val="es-AR"/>
        </w:rPr>
        <w:t>aproximaciones</w:t>
      </w:r>
      <w:r w:rsidRPr="004E10B7">
        <w:rPr>
          <w:rFonts w:cstheme="minorHAnsi"/>
          <w:lang w:val="es-AR"/>
        </w:rPr>
        <w:t xml:space="preserve"> elegidas para hacerlo, como así también la adaptación de éstas al trabajo empírico para las provincias argentinas. Se hace una breve descripción de las variables utilizadas y a continuación se analizan los resultados.</w:t>
      </w:r>
    </w:p>
    <w:p w14:paraId="315AF2E9" w14:textId="1A158A40" w:rsidR="007B38DD" w:rsidRPr="004E10B7" w:rsidRDefault="007B38DD" w:rsidP="008B5D7F">
      <w:pPr>
        <w:spacing w:before="120" w:after="120" w:line="240" w:lineRule="auto"/>
        <w:rPr>
          <w:rFonts w:cstheme="minorHAnsi"/>
          <w:lang w:val="es-AR"/>
        </w:rPr>
      </w:pPr>
      <w:r w:rsidRPr="004E10B7">
        <w:rPr>
          <w:rFonts w:cstheme="minorHAnsi"/>
          <w:lang w:val="es-AR"/>
        </w:rPr>
        <w:t xml:space="preserve">En segunda instancia se presenta una aproximación econométrica al esfuerzo fiscal de las provincias argentinas a través del análisis de datos de </w:t>
      </w:r>
      <w:r w:rsidR="00DD61E0" w:rsidRPr="004E10B7">
        <w:rPr>
          <w:rFonts w:cstheme="minorHAnsi"/>
          <w:lang w:val="es-AR"/>
        </w:rPr>
        <w:t>panel para el periodo 1993-2014, y el análisis de los resultados.</w:t>
      </w:r>
    </w:p>
    <w:p w14:paraId="4A4E2934" w14:textId="1D43C2E8" w:rsidR="00C81746" w:rsidRDefault="00C81746" w:rsidP="008B5D7F">
      <w:pPr>
        <w:spacing w:before="120" w:after="120" w:line="240" w:lineRule="auto"/>
        <w:rPr>
          <w:rFonts w:cstheme="minorHAnsi"/>
          <w:lang w:val="es-AR"/>
        </w:rPr>
      </w:pPr>
      <w:r w:rsidRPr="004E10B7">
        <w:rPr>
          <w:rFonts w:cstheme="minorHAnsi"/>
          <w:lang w:val="es-AR"/>
        </w:rPr>
        <w:t>Del análisis de la bibliografía existente se desprende el hecho de que la disponibilidad de datos condiciona los índices que pueden ser definidos, como así también las definiciones utilizadas condicionan los resultados obtenidos</w:t>
      </w:r>
      <w:r w:rsidRPr="004E10B7">
        <w:rPr>
          <w:rStyle w:val="Refdenotaalpie"/>
          <w:rFonts w:cstheme="minorHAnsi"/>
          <w:lang w:val="es-AR"/>
        </w:rPr>
        <w:footnoteReference w:id="4"/>
      </w:r>
      <w:r w:rsidRPr="004E10B7">
        <w:rPr>
          <w:rFonts w:cstheme="minorHAnsi"/>
          <w:lang w:val="es-AR"/>
        </w:rPr>
        <w:t xml:space="preserve">. Teniendo presente esto, se propone trabajar con </w:t>
      </w:r>
      <w:r w:rsidR="001D6DE8" w:rsidRPr="004E10B7">
        <w:rPr>
          <w:rFonts w:cstheme="minorHAnsi"/>
          <w:lang w:val="es-AR"/>
        </w:rPr>
        <w:t>distintas aproximaciones empíricas a los conceptos de EF y CF resaltando las similitudes y diferencias obtenidas en los resultados</w:t>
      </w:r>
      <w:r w:rsidRPr="004E10B7">
        <w:rPr>
          <w:rFonts w:cstheme="minorHAnsi"/>
          <w:lang w:val="es-AR"/>
        </w:rPr>
        <w:t>.</w:t>
      </w:r>
    </w:p>
    <w:p w14:paraId="1DEEF826" w14:textId="01C5E01F" w:rsidR="009917ED" w:rsidRPr="00807FE5" w:rsidRDefault="009917ED" w:rsidP="009917ED">
      <w:pPr>
        <w:tabs>
          <w:tab w:val="left" w:pos="4678"/>
          <w:tab w:val="left" w:pos="8789"/>
        </w:tabs>
        <w:spacing w:line="240" w:lineRule="auto"/>
        <w:rPr>
          <w:rFonts w:cstheme="minorHAnsi"/>
          <w:lang w:val="es-AR"/>
        </w:rPr>
      </w:pPr>
      <w:r w:rsidRPr="00807FE5">
        <w:rPr>
          <w:rFonts w:cstheme="minorHAnsi"/>
          <w:lang w:val="es-AR"/>
        </w:rPr>
        <w:t>Las fuentes de información estadística consultadas para realizar los cálculos son para el IPC INDEC y Dirección Provincial de Estadísticas y Censos de la Provincia de San Luis. Para el PBG de las provincias argentinas las fuentes son CEPAL, MECON e Indicador Sintético de Actividad Provincial (ISAP) de Federico Muñoz y Asociados. De la Dirección Nacional de Coordinación Fiscal con las Provincias se extrajeron las estadísticas corres</w:t>
      </w:r>
      <w:r w:rsidR="00511A4B">
        <w:rPr>
          <w:rFonts w:cstheme="minorHAnsi"/>
          <w:lang w:val="es-AR"/>
        </w:rPr>
        <w:t>pondientes a la recaudación de i</w:t>
      </w:r>
      <w:r w:rsidRPr="00807FE5">
        <w:rPr>
          <w:rFonts w:cstheme="minorHAnsi"/>
          <w:lang w:val="es-AR"/>
        </w:rPr>
        <w:t xml:space="preserve">ngresos </w:t>
      </w:r>
      <w:r w:rsidR="00511A4B">
        <w:rPr>
          <w:rFonts w:cstheme="minorHAnsi"/>
          <w:lang w:val="es-AR"/>
        </w:rPr>
        <w:t>b</w:t>
      </w:r>
      <w:r w:rsidRPr="00807FE5">
        <w:rPr>
          <w:rFonts w:cstheme="minorHAnsi"/>
          <w:lang w:val="es-AR"/>
        </w:rPr>
        <w:t>rutos</w:t>
      </w:r>
      <w:r w:rsidR="00511A4B">
        <w:rPr>
          <w:rFonts w:cstheme="minorHAnsi"/>
          <w:lang w:val="es-AR"/>
        </w:rPr>
        <w:t>, ingresos propios, resultado primario y resultado financiero</w:t>
      </w:r>
      <w:r w:rsidRPr="00807FE5">
        <w:rPr>
          <w:rFonts w:cstheme="minorHAnsi"/>
          <w:lang w:val="es-AR"/>
        </w:rPr>
        <w:t xml:space="preserve"> por provincia.</w:t>
      </w:r>
    </w:p>
    <w:p w14:paraId="73B2806D" w14:textId="4D314338" w:rsidR="009917ED" w:rsidRPr="00807FE5" w:rsidRDefault="009917ED" w:rsidP="009917ED">
      <w:pPr>
        <w:tabs>
          <w:tab w:val="left" w:pos="4678"/>
          <w:tab w:val="left" w:pos="8789"/>
        </w:tabs>
        <w:spacing w:line="240" w:lineRule="auto"/>
        <w:rPr>
          <w:rFonts w:cstheme="minorHAnsi"/>
          <w:lang w:val="es-AR"/>
        </w:rPr>
      </w:pPr>
      <w:r w:rsidRPr="00807FE5">
        <w:rPr>
          <w:rFonts w:cstheme="minorHAnsi"/>
          <w:lang w:val="es-AR"/>
        </w:rPr>
        <w:t>Las estadísticas de Población se extrajeron de Ferreres (2010</w:t>
      </w:r>
      <w:r w:rsidR="00511A4B">
        <w:rPr>
          <w:rFonts w:cstheme="minorHAnsi"/>
          <w:lang w:val="es-AR"/>
        </w:rPr>
        <w:t>) e INDEC y las transferencias n</w:t>
      </w:r>
      <w:r w:rsidRPr="00807FE5">
        <w:rPr>
          <w:rFonts w:cstheme="minorHAnsi"/>
          <w:lang w:val="es-AR"/>
        </w:rPr>
        <w:t>acionales</w:t>
      </w:r>
      <w:r w:rsidR="00511A4B">
        <w:rPr>
          <w:rFonts w:cstheme="minorHAnsi"/>
          <w:lang w:val="es-AR"/>
        </w:rPr>
        <w:t xml:space="preserve"> y transferencias no automáticas</w:t>
      </w:r>
      <w:r w:rsidR="00511A4B">
        <w:rPr>
          <w:rStyle w:val="Refdenotaalpie"/>
          <w:rFonts w:cstheme="minorHAnsi"/>
          <w:lang w:val="es-AR"/>
        </w:rPr>
        <w:footnoteReference w:id="5"/>
      </w:r>
      <w:r w:rsidRPr="00807FE5">
        <w:rPr>
          <w:rFonts w:cstheme="minorHAnsi"/>
          <w:lang w:val="es-AR"/>
        </w:rPr>
        <w:t xml:space="preserve"> de la Asociación Argentina de Presupuesto y Administración Financi</w:t>
      </w:r>
      <w:r w:rsidR="00511A4B">
        <w:rPr>
          <w:rFonts w:cstheme="minorHAnsi"/>
          <w:lang w:val="es-AR"/>
        </w:rPr>
        <w:t>era Pública, y los valores de estas variables para el año 2014 de la Dirección Nacional de Coordinación con las Provincias.</w:t>
      </w:r>
    </w:p>
    <w:p w14:paraId="54ED1AAE" w14:textId="2AE1B6BF" w:rsidR="005C6141" w:rsidRDefault="00FD776F" w:rsidP="008B5D7F">
      <w:pPr>
        <w:pStyle w:val="Ttulo2"/>
        <w:numPr>
          <w:ilvl w:val="0"/>
          <w:numId w:val="31"/>
        </w:numPr>
        <w:ind w:left="0" w:firstLine="0"/>
        <w:rPr>
          <w:lang w:val="es-AR"/>
        </w:rPr>
      </w:pPr>
      <w:bookmarkStart w:id="3" w:name="_Toc491725411"/>
      <w:r>
        <w:rPr>
          <w:lang w:val="es-AR"/>
        </w:rPr>
        <w:t>RATIOS DE ESFUERZO Y CAPACIDAD FISCAL</w:t>
      </w:r>
      <w:bookmarkEnd w:id="3"/>
    </w:p>
    <w:p w14:paraId="027F6BBA" w14:textId="6DDA68D7" w:rsidR="00FB0970" w:rsidRPr="004E10B7" w:rsidRDefault="009C5CA9" w:rsidP="008B5D7F">
      <w:pPr>
        <w:spacing w:line="240" w:lineRule="auto"/>
        <w:rPr>
          <w:lang w:val="es-AR"/>
        </w:rPr>
      </w:pPr>
      <w:r w:rsidRPr="004E10B7">
        <w:rPr>
          <w:lang w:val="es-AR"/>
        </w:rPr>
        <w:t xml:space="preserve">En la bibliografía existente se proponen diversas aproximaciones empíricas para el cálculo de los conceptos de esfuerzo y capacidad fiscal. Como se mencionó </w:t>
      </w:r>
      <w:r w:rsidRPr="002F1563">
        <w:rPr>
          <w:lang w:val="es-AR"/>
        </w:rPr>
        <w:t xml:space="preserve">en el Capítulo </w:t>
      </w:r>
      <w:r w:rsidR="002F1563" w:rsidRPr="002F1563">
        <w:rPr>
          <w:lang w:val="es-AR"/>
        </w:rPr>
        <w:t>I</w:t>
      </w:r>
      <w:r w:rsidRPr="004E10B7">
        <w:rPr>
          <w:lang w:val="es-AR"/>
        </w:rPr>
        <w:t xml:space="preserve"> </w:t>
      </w:r>
      <w:r w:rsidR="007020A4" w:rsidRPr="004E10B7">
        <w:rPr>
          <w:lang w:val="es-AR"/>
        </w:rPr>
        <w:t xml:space="preserve">estas aproximaciones están condicionadas por la disponibilidad de datos homogéneos de </w:t>
      </w:r>
      <w:r w:rsidR="003B3600" w:rsidRPr="004E10B7">
        <w:rPr>
          <w:lang w:val="es-AR"/>
        </w:rPr>
        <w:t>los individuos en el periodo bajo análisi</w:t>
      </w:r>
      <w:r w:rsidR="007020A4" w:rsidRPr="004E10B7">
        <w:rPr>
          <w:lang w:val="es-AR"/>
        </w:rPr>
        <w:t>s</w:t>
      </w:r>
      <w:r w:rsidR="00FB0970" w:rsidRPr="004E10B7">
        <w:rPr>
          <w:lang w:val="es-AR"/>
        </w:rPr>
        <w:t xml:space="preserve"> y, según Zabalza </w:t>
      </w:r>
      <w:r w:rsidR="00327267">
        <w:rPr>
          <w:lang w:val="es-AR"/>
        </w:rPr>
        <w:t>et al.</w:t>
      </w:r>
      <w:r w:rsidR="00FB0970" w:rsidRPr="004E10B7">
        <w:rPr>
          <w:lang w:val="es-AR"/>
        </w:rPr>
        <w:t xml:space="preserve"> (1999)</w:t>
      </w:r>
      <w:r w:rsidR="009B351E" w:rsidRPr="004E10B7">
        <w:rPr>
          <w:lang w:val="es-AR"/>
        </w:rPr>
        <w:t>,</w:t>
      </w:r>
      <w:r w:rsidR="00FB0970" w:rsidRPr="004E10B7">
        <w:rPr>
          <w:lang w:val="es-AR"/>
        </w:rPr>
        <w:t xml:space="preserve"> </w:t>
      </w:r>
      <w:r w:rsidR="00FB0970" w:rsidRPr="004E10B7">
        <w:rPr>
          <w:i/>
          <w:lang w:val="es-AR"/>
        </w:rPr>
        <w:t>“no existe en principio un índice de esfuerzo fiscal que sea netamente superior a otro y que la selección entre las alternativas existentes debe guiarse por una multiplicidad de criterios, de entre los cuales la sencillez del índice y la fiabilidad de los datos sobre los que se basa no deben ser ignorados”</w:t>
      </w:r>
      <w:r w:rsidR="00FB0970" w:rsidRPr="004E10B7">
        <w:rPr>
          <w:lang w:val="es-AR"/>
        </w:rPr>
        <w:t>.</w:t>
      </w:r>
    </w:p>
    <w:p w14:paraId="246D3778" w14:textId="247E7275" w:rsidR="00FB0970" w:rsidRPr="004E10B7" w:rsidRDefault="001335BF" w:rsidP="008B5D7F">
      <w:pPr>
        <w:spacing w:line="240" w:lineRule="auto"/>
        <w:rPr>
          <w:lang w:val="es-AR"/>
        </w:rPr>
      </w:pPr>
      <w:r w:rsidRPr="004E10B7">
        <w:rPr>
          <w:lang w:val="es-AR"/>
        </w:rPr>
        <w:lastRenderedPageBreak/>
        <w:t xml:space="preserve">Teniendo en cuenta </w:t>
      </w:r>
      <w:r w:rsidR="003356BE" w:rsidRPr="004E10B7">
        <w:rPr>
          <w:lang w:val="es-AR"/>
        </w:rPr>
        <w:t xml:space="preserve">la disponibilidad de datos homogéneos para las provincias argentinas de 1993 a 2014 y la sencillez de cálculo, se decidió trabajar con </w:t>
      </w:r>
      <w:r w:rsidR="008848E3" w:rsidRPr="004E10B7">
        <w:rPr>
          <w:lang w:val="es-AR"/>
        </w:rPr>
        <w:t>dos aproximaciones empíricas de EF y dos de CF.</w:t>
      </w:r>
    </w:p>
    <w:p w14:paraId="586C0B7D" w14:textId="4BCE04D0" w:rsidR="00EB5209" w:rsidRDefault="00EB5209" w:rsidP="008B5D7F">
      <w:pPr>
        <w:spacing w:line="240" w:lineRule="auto"/>
        <w:rPr>
          <w:lang w:val="es-AR"/>
        </w:rPr>
      </w:pPr>
      <w:r w:rsidRPr="004E10B7">
        <w:rPr>
          <w:lang w:val="es-AR"/>
        </w:rPr>
        <w:t>De entre los índices de esfuerzo fiscal relevado en la literatura se identificó dos aproximaciones al cálculo empírico que resultan aplicables al caso de las provincias argentinas dada la disponibilidad de datos, y al mismo tiempo no presentan gran dificultad para su cálculo.</w:t>
      </w:r>
    </w:p>
    <w:p w14:paraId="71971358" w14:textId="457BE6A7" w:rsidR="00EB5209" w:rsidRPr="004E10B7" w:rsidRDefault="00EB5209" w:rsidP="008B5D7F">
      <w:pPr>
        <w:spacing w:line="240" w:lineRule="auto"/>
        <w:rPr>
          <w:lang w:val="es-AR"/>
        </w:rPr>
      </w:pPr>
      <w:r w:rsidRPr="004E10B7">
        <w:rPr>
          <w:lang w:val="es-AR"/>
        </w:rPr>
        <w:t xml:space="preserve">El primero que se propone calcular en este trabajo es el llamado IREF1 propuesto por </w:t>
      </w:r>
      <w:r w:rsidR="006D4889" w:rsidRPr="004E10B7">
        <w:rPr>
          <w:lang w:val="es-AR"/>
        </w:rPr>
        <w:t xml:space="preserve">Zabalza </w:t>
      </w:r>
      <w:r w:rsidR="00327267">
        <w:rPr>
          <w:lang w:val="es-AR"/>
        </w:rPr>
        <w:t>et al.</w:t>
      </w:r>
      <w:r w:rsidR="006D4889" w:rsidRPr="004E10B7">
        <w:rPr>
          <w:lang w:val="es-AR"/>
        </w:rPr>
        <w:t xml:space="preserve"> (1999):</w:t>
      </w:r>
    </w:p>
    <w:p w14:paraId="3EC3A1DA" w14:textId="5D5698AE" w:rsidR="006D4889" w:rsidRPr="004E10B7" w:rsidRDefault="006D4889" w:rsidP="008B5D7F">
      <w:pPr>
        <w:spacing w:before="120" w:after="120" w:line="240" w:lineRule="auto"/>
        <w:rPr>
          <w:rFonts w:cstheme="minorHAnsi"/>
          <w:lang w:val="es-AR"/>
        </w:rPr>
      </w:pPr>
      <w:r w:rsidRPr="004E10B7">
        <w:rPr>
          <w:rFonts w:cstheme="minorHAnsi"/>
          <w:noProof/>
          <w:lang w:val="es-AR" w:eastAsia="es-AR"/>
        </w:rPr>
        <mc:AlternateContent>
          <mc:Choice Requires="wps">
            <w:drawing>
              <wp:anchor distT="0" distB="0" distL="114300" distR="114300" simplePos="0" relativeHeight="251663360" behindDoc="0" locked="0" layoutInCell="1" allowOverlap="1" wp14:anchorId="5E2C33CF" wp14:editId="21AF8C3A">
                <wp:simplePos x="0" y="0"/>
                <wp:positionH relativeFrom="margin">
                  <wp:align>center</wp:align>
                </wp:positionH>
                <wp:positionV relativeFrom="paragraph">
                  <wp:posOffset>10633</wp:posOffset>
                </wp:positionV>
                <wp:extent cx="2445157" cy="414665"/>
                <wp:effectExtent l="0" t="0" r="0" b="0"/>
                <wp:wrapNone/>
                <wp:docPr id="13" name="CuadroTexto 5"/>
                <wp:cNvGraphicFramePr/>
                <a:graphic xmlns:a="http://schemas.openxmlformats.org/drawingml/2006/main">
                  <a:graphicData uri="http://schemas.microsoft.com/office/word/2010/wordprocessingShape">
                    <wps:wsp>
                      <wps:cNvSpPr txBox="1"/>
                      <wps:spPr>
                        <a:xfrm>
                          <a:off x="0" y="0"/>
                          <a:ext cx="2445157" cy="41466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D27FEF1" w14:textId="77777777" w:rsidR="00EE621F" w:rsidRPr="006D4889" w:rsidRDefault="00EE621F" w:rsidP="006D4889">
                            <w:pPr>
                              <w:pStyle w:val="NormalWeb"/>
                              <w:spacing w:before="0" w:beforeAutospacing="0" w:after="0" w:afterAutospacing="0"/>
                              <w:rPr>
                                <w:sz w:val="22"/>
                                <w:szCs w:val="22"/>
                              </w:rPr>
                            </w:pPr>
                            <m:oMathPara>
                              <m:oMathParaPr>
                                <m:jc m:val="center"/>
                              </m:oMathParaPr>
                              <m:oMath>
                                <m:sSub>
                                  <m:sSubPr>
                                    <m:ctrlPr>
                                      <w:rPr>
                                        <w:rFonts w:ascii="Cambria Math" w:hAnsi="Cambria Math" w:cstheme="minorBidi"/>
                                        <w:i/>
                                        <w:iCs/>
                                        <w:color w:val="000000" w:themeColor="text1"/>
                                        <w:kern w:val="24"/>
                                        <w:sz w:val="22"/>
                                        <w:szCs w:val="22"/>
                                      </w:rPr>
                                    </m:ctrlPr>
                                  </m:sSubPr>
                                  <m:e>
                                    <m:r>
                                      <w:rPr>
                                        <w:rFonts w:ascii="Cambria Math" w:hAnsi="Cambria Math" w:cstheme="minorBidi"/>
                                        <w:color w:val="000000" w:themeColor="text1"/>
                                        <w:kern w:val="24"/>
                                        <w:sz w:val="22"/>
                                        <w:szCs w:val="22"/>
                                        <w:lang w:val="es-AR"/>
                                      </w:rPr>
                                      <m:t>IREF1</m:t>
                                    </m:r>
                                  </m:e>
                                  <m:sub>
                                    <m:r>
                                      <w:rPr>
                                        <w:rFonts w:ascii="Cambria Math" w:hAnsi="Cambria Math" w:cstheme="minorBidi"/>
                                        <w:color w:val="000000" w:themeColor="text1"/>
                                        <w:kern w:val="24"/>
                                        <w:sz w:val="22"/>
                                        <w:szCs w:val="22"/>
                                        <w:lang w:val="es-AR"/>
                                      </w:rPr>
                                      <m:t>i</m:t>
                                    </m:r>
                                  </m:sub>
                                </m:sSub>
                                <m:r>
                                  <w:rPr>
                                    <w:rFonts w:ascii="Cambria Math" w:hAnsi="Cambria Math" w:cstheme="minorBidi"/>
                                    <w:color w:val="000000" w:themeColor="text1"/>
                                    <w:kern w:val="24"/>
                                    <w:sz w:val="22"/>
                                    <w:szCs w:val="22"/>
                                    <w:lang w:val="es-AR"/>
                                  </w:rPr>
                                  <m:t>=</m:t>
                                </m:r>
                                <m:f>
                                  <m:fPr>
                                    <m:ctrlPr>
                                      <w:rPr>
                                        <w:rFonts w:ascii="Cambria Math" w:hAnsi="Cambria Math" w:cstheme="minorBidi"/>
                                        <w:i/>
                                        <w:iCs/>
                                        <w:color w:val="000000" w:themeColor="text1"/>
                                        <w:kern w:val="24"/>
                                        <w:sz w:val="22"/>
                                        <w:szCs w:val="22"/>
                                        <w:lang w:val="es-AR"/>
                                      </w:rPr>
                                    </m:ctrlPr>
                                  </m:fPr>
                                  <m:num>
                                    <m:sSub>
                                      <m:sSubPr>
                                        <m:ctrlPr>
                                          <w:rPr>
                                            <w:rFonts w:ascii="Cambria Math" w:hAnsi="Cambria Math" w:cstheme="minorBidi"/>
                                            <w:i/>
                                            <w:iCs/>
                                            <w:color w:val="000000" w:themeColor="text1"/>
                                            <w:kern w:val="24"/>
                                            <w:sz w:val="22"/>
                                            <w:szCs w:val="22"/>
                                            <w:lang w:val="es-AR"/>
                                          </w:rPr>
                                        </m:ctrlPr>
                                      </m:sSubPr>
                                      <m:e>
                                        <m:r>
                                          <w:rPr>
                                            <w:rFonts w:ascii="Cambria Math" w:hAnsi="Cambria Math" w:cstheme="minorBidi"/>
                                            <w:color w:val="000000" w:themeColor="text1"/>
                                            <w:kern w:val="24"/>
                                            <w:sz w:val="22"/>
                                            <w:szCs w:val="22"/>
                                            <w:lang w:val="es-AR"/>
                                          </w:rPr>
                                          <m:t>Recaudación relativa</m:t>
                                        </m:r>
                                      </m:e>
                                      <m:sub>
                                        <m:r>
                                          <w:rPr>
                                            <w:rFonts w:ascii="Cambria Math" w:hAnsi="Cambria Math" w:cstheme="minorBidi"/>
                                            <w:color w:val="000000" w:themeColor="text1"/>
                                            <w:kern w:val="24"/>
                                            <w:sz w:val="22"/>
                                            <w:szCs w:val="22"/>
                                            <w:lang w:val="es-AR"/>
                                          </w:rPr>
                                          <m:t>i</m:t>
                                        </m:r>
                                      </m:sub>
                                    </m:sSub>
                                  </m:num>
                                  <m:den>
                                    <m:sSub>
                                      <m:sSubPr>
                                        <m:ctrlPr>
                                          <w:rPr>
                                            <w:rFonts w:ascii="Cambria Math" w:hAnsi="Cambria Math" w:cstheme="minorBidi"/>
                                            <w:i/>
                                            <w:iCs/>
                                            <w:color w:val="000000" w:themeColor="text1"/>
                                            <w:kern w:val="24"/>
                                            <w:sz w:val="22"/>
                                            <w:szCs w:val="22"/>
                                            <w:lang w:val="es-AR"/>
                                          </w:rPr>
                                        </m:ctrlPr>
                                      </m:sSubPr>
                                      <m:e>
                                        <m:r>
                                          <w:rPr>
                                            <w:rFonts w:ascii="Cambria Math" w:hAnsi="Cambria Math" w:cstheme="minorBidi"/>
                                            <w:color w:val="000000" w:themeColor="text1"/>
                                            <w:kern w:val="24"/>
                                            <w:sz w:val="22"/>
                                            <w:szCs w:val="22"/>
                                            <w:lang w:val="es-AR"/>
                                          </w:rPr>
                                          <m:t>Producto relativo</m:t>
                                        </m:r>
                                      </m:e>
                                      <m:sub>
                                        <m:r>
                                          <w:rPr>
                                            <w:rFonts w:ascii="Cambria Math" w:hAnsi="Cambria Math" w:cstheme="minorBidi"/>
                                            <w:color w:val="000000" w:themeColor="text1"/>
                                            <w:kern w:val="24"/>
                                            <w:sz w:val="22"/>
                                            <w:szCs w:val="22"/>
                                            <w:lang w:val="es-AR"/>
                                          </w:rPr>
                                          <m:t>i</m:t>
                                        </m:r>
                                      </m:sub>
                                    </m:sSub>
                                  </m:den>
                                </m:f>
                              </m:oMath>
                            </m:oMathPara>
                          </w:p>
                        </w:txbxContent>
                      </wps:txbx>
                      <wps:bodyPr wrap="none" lIns="0" tIns="0" rIns="0" bIns="0" rtlCol="0" anchor="t">
                        <a:spAutoFit/>
                      </wps:bodyPr>
                    </wps:wsp>
                  </a:graphicData>
                </a:graphic>
              </wp:anchor>
            </w:drawing>
          </mc:Choice>
          <mc:Fallback>
            <w:pict>
              <v:shape w14:anchorId="5E2C33CF" id="CuadroTexto 5" o:spid="_x0000_s1028" type="#_x0000_t202" style="position:absolute;left:0;text-align:left;margin-left:0;margin-top:.85pt;width:192.55pt;height:32.6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wEPAQIAAFIEAAAOAAAAZHJzL2Uyb0RvYy54bWysVFGP0zAMfkfiP0R5Z93GNlC17gQ7HUJC&#10;gLjjB6RpslZK4sjJ1u7f46RrD8HTIV6y1LE/299nb383WMMuCkMHruKrxZIz5SQ0nTtV/OfTw5v3&#10;nIUoXCMMOFXxqwr87vD61b73pVpDC6ZRyAjEhbL3FW9j9GVRBNkqK8ICvHL0qAGtiPSJp6JB0RO6&#10;NcV6udwVPWDjEaQKgaz34yM/ZHytlYzftA4qMlNxqi3mE/NZp7M47EV5QuHbTt7KEP9QhRWdo6Qz&#10;1L2Igp2x+wvKdhIhgI4LCbYArTupcg/UzWr5RzePrfAq90LkBD/TFP4frPx6+Y6sa0i7t5w5YUmj&#10;41k0CE9qiMC2iaHeh5IcHz25xuEjDOQ92QMZU+ODRpt+qSVG78T1deaXkJgk43qz2a627ziT9LZZ&#10;bXa7DF88R3sM8ZMCy9Kl4kj6ZVrF5UuIVAm5Ti4pmYOHzphkTyWOpeRbvBqVHIz7oTS1lytKhiDx&#10;VB8NsnEGaEip0mkSCD0HJEdNwC+MvYWkaJVH74Xxc1DODy7O8bZzgJmIvBgqNXARNNJxyEJQ4Xr0&#10;n6gYCUhcxKEessDrSbIamisp2dPUV9zRWnJmPjsaqrQg0wWnSz1dMJojjGsknGyBGBzFCf7DOZIS&#10;WaCUckxwK4UGN+t2W7K0Gb9/Z6/nv4LDLwAAAP//AwBQSwMEFAAGAAgAAAAhANVUNWrZAAAABQEA&#10;AA8AAABkcnMvZG93bnJldi54bWxMj8FOwzAQRO9I/QdrK3GjTkE0UYhToUpcuFEQEjc33sYR9jqy&#10;3TT5e5YTHHdmNPO22c/eiQljGgIp2G4KEEhdMAP1Cj7eX+4qEClrMtoFQgULJti3q5tG1yZc6Q2n&#10;Y+4Fl1CqtQKb81hLmTqLXqdNGJHYO4fodeYz9tJEfeVy7+R9Ueyk1wPxgtUjHix238eLV1DOnwHH&#10;hAf8Ok9dtMNSuddFqdv1/PwEIuOc/8Lwi8/o0DLTKVzIJOEU8COZ1RIEmw/V4xbEScGuLEC2jfxP&#10;3/4AAAD//wMAUEsBAi0AFAAGAAgAAAAhALaDOJL+AAAA4QEAABMAAAAAAAAAAAAAAAAAAAAAAFtD&#10;b250ZW50X1R5cGVzXS54bWxQSwECLQAUAAYACAAAACEAOP0h/9YAAACUAQAACwAAAAAAAAAAAAAA&#10;AAAvAQAAX3JlbHMvLnJlbHNQSwECLQAUAAYACAAAACEArisBDwECAABSBAAADgAAAAAAAAAAAAAA&#10;AAAuAgAAZHJzL2Uyb0RvYy54bWxQSwECLQAUAAYACAAAACEA1VQ1atkAAAAFAQAADwAAAAAAAAAA&#10;AAAAAABbBAAAZHJzL2Rvd25yZXYueG1sUEsFBgAAAAAEAAQA8wAAAGEFAAAAAA==&#10;" filled="f" stroked="f">
                <v:textbox style="mso-fit-shape-to-text:t" inset="0,0,0,0">
                  <w:txbxContent>
                    <w:p w14:paraId="4D27FEF1" w14:textId="77777777" w:rsidR="00EE621F" w:rsidRPr="006D4889" w:rsidRDefault="00EE621F" w:rsidP="006D4889">
                      <w:pPr>
                        <w:pStyle w:val="NormalWeb"/>
                        <w:spacing w:before="0" w:beforeAutospacing="0" w:after="0" w:afterAutospacing="0"/>
                        <w:rPr>
                          <w:sz w:val="22"/>
                          <w:szCs w:val="22"/>
                        </w:rPr>
                      </w:pPr>
                      <m:oMathPara>
                        <m:oMathParaPr>
                          <m:jc m:val="center"/>
                        </m:oMathParaPr>
                        <m:oMath>
                          <m:sSub>
                            <m:sSubPr>
                              <m:ctrlPr>
                                <w:rPr>
                                  <w:rFonts w:ascii="Cambria Math" w:hAnsi="Cambria Math" w:cstheme="minorBidi"/>
                                  <w:i/>
                                  <w:iCs/>
                                  <w:color w:val="000000" w:themeColor="text1"/>
                                  <w:kern w:val="24"/>
                                  <w:sz w:val="22"/>
                                  <w:szCs w:val="22"/>
                                </w:rPr>
                              </m:ctrlPr>
                            </m:sSubPr>
                            <m:e>
                              <m:r>
                                <w:rPr>
                                  <w:rFonts w:ascii="Cambria Math" w:hAnsi="Cambria Math" w:cstheme="minorBidi"/>
                                  <w:color w:val="000000" w:themeColor="text1"/>
                                  <w:kern w:val="24"/>
                                  <w:sz w:val="22"/>
                                  <w:szCs w:val="22"/>
                                  <w:lang w:val="es-AR"/>
                                </w:rPr>
                                <m:t>IREF1</m:t>
                              </m:r>
                            </m:e>
                            <m:sub>
                              <m:r>
                                <w:rPr>
                                  <w:rFonts w:ascii="Cambria Math" w:hAnsi="Cambria Math" w:cstheme="minorBidi"/>
                                  <w:color w:val="000000" w:themeColor="text1"/>
                                  <w:kern w:val="24"/>
                                  <w:sz w:val="22"/>
                                  <w:szCs w:val="22"/>
                                  <w:lang w:val="es-AR"/>
                                </w:rPr>
                                <m:t>i</m:t>
                              </m:r>
                            </m:sub>
                          </m:sSub>
                          <m:r>
                            <w:rPr>
                              <w:rFonts w:ascii="Cambria Math" w:hAnsi="Cambria Math" w:cstheme="minorBidi"/>
                              <w:color w:val="000000" w:themeColor="text1"/>
                              <w:kern w:val="24"/>
                              <w:sz w:val="22"/>
                              <w:szCs w:val="22"/>
                              <w:lang w:val="es-AR"/>
                            </w:rPr>
                            <m:t>=</m:t>
                          </m:r>
                          <m:f>
                            <m:fPr>
                              <m:ctrlPr>
                                <w:rPr>
                                  <w:rFonts w:ascii="Cambria Math" w:hAnsi="Cambria Math" w:cstheme="minorBidi"/>
                                  <w:i/>
                                  <w:iCs/>
                                  <w:color w:val="000000" w:themeColor="text1"/>
                                  <w:kern w:val="24"/>
                                  <w:sz w:val="22"/>
                                  <w:szCs w:val="22"/>
                                  <w:lang w:val="es-AR"/>
                                </w:rPr>
                              </m:ctrlPr>
                            </m:fPr>
                            <m:num>
                              <m:sSub>
                                <m:sSubPr>
                                  <m:ctrlPr>
                                    <w:rPr>
                                      <w:rFonts w:ascii="Cambria Math" w:hAnsi="Cambria Math" w:cstheme="minorBidi"/>
                                      <w:i/>
                                      <w:iCs/>
                                      <w:color w:val="000000" w:themeColor="text1"/>
                                      <w:kern w:val="24"/>
                                      <w:sz w:val="22"/>
                                      <w:szCs w:val="22"/>
                                      <w:lang w:val="es-AR"/>
                                    </w:rPr>
                                  </m:ctrlPr>
                                </m:sSubPr>
                                <m:e>
                                  <m:r>
                                    <w:rPr>
                                      <w:rFonts w:ascii="Cambria Math" w:hAnsi="Cambria Math" w:cstheme="minorBidi"/>
                                      <w:color w:val="000000" w:themeColor="text1"/>
                                      <w:kern w:val="24"/>
                                      <w:sz w:val="22"/>
                                      <w:szCs w:val="22"/>
                                      <w:lang w:val="es-AR"/>
                                    </w:rPr>
                                    <m:t>Recaudación relativa</m:t>
                                  </m:r>
                                </m:e>
                                <m:sub>
                                  <m:r>
                                    <w:rPr>
                                      <w:rFonts w:ascii="Cambria Math" w:hAnsi="Cambria Math" w:cstheme="minorBidi"/>
                                      <w:color w:val="000000" w:themeColor="text1"/>
                                      <w:kern w:val="24"/>
                                      <w:sz w:val="22"/>
                                      <w:szCs w:val="22"/>
                                      <w:lang w:val="es-AR"/>
                                    </w:rPr>
                                    <m:t>i</m:t>
                                  </m:r>
                                </m:sub>
                              </m:sSub>
                            </m:num>
                            <m:den>
                              <m:sSub>
                                <m:sSubPr>
                                  <m:ctrlPr>
                                    <w:rPr>
                                      <w:rFonts w:ascii="Cambria Math" w:hAnsi="Cambria Math" w:cstheme="minorBidi"/>
                                      <w:i/>
                                      <w:iCs/>
                                      <w:color w:val="000000" w:themeColor="text1"/>
                                      <w:kern w:val="24"/>
                                      <w:sz w:val="22"/>
                                      <w:szCs w:val="22"/>
                                      <w:lang w:val="es-AR"/>
                                    </w:rPr>
                                  </m:ctrlPr>
                                </m:sSubPr>
                                <m:e>
                                  <m:r>
                                    <w:rPr>
                                      <w:rFonts w:ascii="Cambria Math" w:hAnsi="Cambria Math" w:cstheme="minorBidi"/>
                                      <w:color w:val="000000" w:themeColor="text1"/>
                                      <w:kern w:val="24"/>
                                      <w:sz w:val="22"/>
                                      <w:szCs w:val="22"/>
                                      <w:lang w:val="es-AR"/>
                                    </w:rPr>
                                    <m:t>Producto relativo</m:t>
                                  </m:r>
                                </m:e>
                                <m:sub>
                                  <m:r>
                                    <w:rPr>
                                      <w:rFonts w:ascii="Cambria Math" w:hAnsi="Cambria Math" w:cstheme="minorBidi"/>
                                      <w:color w:val="000000" w:themeColor="text1"/>
                                      <w:kern w:val="24"/>
                                      <w:sz w:val="22"/>
                                      <w:szCs w:val="22"/>
                                      <w:lang w:val="es-AR"/>
                                    </w:rPr>
                                    <m:t>i</m:t>
                                  </m:r>
                                </m:sub>
                              </m:sSub>
                            </m:den>
                          </m:f>
                        </m:oMath>
                      </m:oMathPara>
                    </w:p>
                  </w:txbxContent>
                </v:textbox>
                <w10:wrap anchorx="margin"/>
              </v:shape>
            </w:pict>
          </mc:Fallback>
        </mc:AlternateContent>
      </w:r>
    </w:p>
    <w:p w14:paraId="0E5F00E1" w14:textId="77777777" w:rsidR="006D4889" w:rsidRPr="004E10B7" w:rsidRDefault="006D4889" w:rsidP="008B5D7F">
      <w:pPr>
        <w:spacing w:before="120" w:after="120" w:line="240" w:lineRule="auto"/>
        <w:rPr>
          <w:rFonts w:cstheme="minorHAnsi"/>
          <w:lang w:val="es-AR"/>
        </w:rPr>
      </w:pPr>
    </w:p>
    <w:p w14:paraId="70A1C927" w14:textId="3C712E7A" w:rsidR="00F94A63" w:rsidRPr="004E10B7" w:rsidRDefault="00F94A63" w:rsidP="008B5D7F">
      <w:pPr>
        <w:spacing w:line="240" w:lineRule="auto"/>
        <w:rPr>
          <w:rFonts w:cstheme="minorHAnsi"/>
          <w:lang w:val="es-AR"/>
        </w:rPr>
      </w:pPr>
      <w:r w:rsidRPr="004E10B7">
        <w:rPr>
          <w:rFonts w:cstheme="minorHAnsi"/>
          <w:lang w:val="es-AR"/>
        </w:rPr>
        <w:t>Lo que se busca medir es la recaudación relativa respecto del producto relativo</w:t>
      </w:r>
      <w:r w:rsidRPr="004E10B7">
        <w:rPr>
          <w:rStyle w:val="Refdenotaalpie"/>
          <w:rFonts w:cstheme="minorHAnsi"/>
          <w:lang w:val="es-AR"/>
        </w:rPr>
        <w:footnoteReference w:id="6"/>
      </w:r>
      <w:r w:rsidRPr="004E10B7">
        <w:rPr>
          <w:rFonts w:cstheme="minorHAnsi"/>
          <w:lang w:val="es-AR"/>
        </w:rPr>
        <w:t>, relativos a la recaudación agregada y al producto agregado respectivamente.</w:t>
      </w:r>
    </w:p>
    <w:p w14:paraId="63B7700E" w14:textId="6551366F" w:rsidR="000113C8" w:rsidRPr="004E10B7" w:rsidRDefault="006D4889" w:rsidP="008B5D7F">
      <w:pPr>
        <w:spacing w:line="240" w:lineRule="auto"/>
        <w:rPr>
          <w:lang w:val="es-AR"/>
        </w:rPr>
      </w:pPr>
      <w:r w:rsidRPr="004E10B7">
        <w:rPr>
          <w:rFonts w:cstheme="minorHAnsi"/>
          <w:lang w:val="es-AR"/>
        </w:rPr>
        <w:t>Estos autores desarrollan su trabajo considerando el IRPF o Impuesto a la Renta sobre las Personas Físicas, que es un impuesto progresivo y sobre el cual las comunidades autónomas tienen competencia normativa.</w:t>
      </w:r>
      <w:r w:rsidR="000B60EA" w:rsidRPr="004E10B7">
        <w:rPr>
          <w:rFonts w:cstheme="minorHAnsi"/>
          <w:lang w:val="es-AR"/>
        </w:rPr>
        <w:t xml:space="preserve"> Para el caso de las provincias argentinas se propone trabajar con la recaudación de Ingresos Brutos, en principio porque es un tributo sobre el cuál las provincias tienen competencia normativa y a diferencia de la recaudación de ingresos propios </w:t>
      </w:r>
      <w:r w:rsidR="000113C8" w:rsidRPr="004E10B7">
        <w:rPr>
          <w:rFonts w:cstheme="minorHAnsi"/>
          <w:lang w:val="es-AR"/>
        </w:rPr>
        <w:t xml:space="preserve">resulta ser más homogéneo. Esto se debe principalmente porque la recaudación de ingresos propios está compuesta, entre otros, por la recaudación de impuesto inmobiliario y de impuesto automotor. El primero presenta la problemática de que </w:t>
      </w:r>
      <w:r w:rsidR="000113C8" w:rsidRPr="004E10B7">
        <w:rPr>
          <w:rFonts w:cstheme="minorHAnsi"/>
          <w:i/>
          <w:lang w:val="es-AR"/>
        </w:rPr>
        <w:t>“</w:t>
      </w:r>
      <w:r w:rsidR="000113C8" w:rsidRPr="004E10B7">
        <w:rPr>
          <w:i/>
          <w:lang w:val="es-AR"/>
        </w:rPr>
        <w:t xml:space="preserve">los valores de la tierra se actualizan de acuerdo a las normativas de cada </w:t>
      </w:r>
      <w:r w:rsidR="000113C8" w:rsidRPr="004D2FFA">
        <w:rPr>
          <w:i/>
          <w:lang w:val="es-AR"/>
        </w:rPr>
        <w:t>provincia</w:t>
      </w:r>
      <w:r w:rsidR="000113C8" w:rsidRPr="004D2FFA">
        <w:rPr>
          <w:lang w:val="es-AR"/>
        </w:rPr>
        <w:t>” (Ferreira),</w:t>
      </w:r>
      <w:r w:rsidR="000113C8" w:rsidRPr="004E10B7">
        <w:rPr>
          <w:lang w:val="es-AR"/>
        </w:rPr>
        <w:t xml:space="preserve"> y eso dificulta el análisis de la evolución temporal de los índices de EF ya que las fechas de actualización de las distintas provincias es independiente. Por el lado del impuesto automotor, presenta la dificultad de que algunas provincias, como Chubut, Corrientes y Formosa, han </w:t>
      </w:r>
      <w:r w:rsidR="000113C8" w:rsidRPr="004E10B7">
        <w:rPr>
          <w:i/>
          <w:lang w:val="es-AR"/>
        </w:rPr>
        <w:t>“descentralizado el impuesto automotor al ámbito municipal</w:t>
      </w:r>
      <w:r w:rsidR="000113C8" w:rsidRPr="004D2FFA">
        <w:rPr>
          <w:i/>
          <w:lang w:val="es-AR"/>
        </w:rPr>
        <w:t>”</w:t>
      </w:r>
      <w:r w:rsidR="000113C8" w:rsidRPr="004D2FFA">
        <w:rPr>
          <w:lang w:val="es-AR"/>
        </w:rPr>
        <w:t xml:space="preserve"> (M</w:t>
      </w:r>
      <w:r w:rsidR="004D2FFA" w:rsidRPr="004D2FFA">
        <w:rPr>
          <w:lang w:val="es-AR"/>
        </w:rPr>
        <w:t>inisterio del Interior y Transporte</w:t>
      </w:r>
      <w:r w:rsidR="000113C8" w:rsidRPr="004D2FFA">
        <w:rPr>
          <w:lang w:val="es-AR"/>
        </w:rPr>
        <w:t>, 2015</w:t>
      </w:r>
      <w:r w:rsidR="000113C8" w:rsidRPr="004E10B7">
        <w:rPr>
          <w:lang w:val="es-AR"/>
        </w:rPr>
        <w:t xml:space="preserve">), y por tanto </w:t>
      </w:r>
      <w:r w:rsidR="00EA45F9" w:rsidRPr="004E10B7">
        <w:rPr>
          <w:lang w:val="es-AR"/>
        </w:rPr>
        <w:t>los casos de esas provincias no son directamente comparables con aquellas que la recaudación sigue en manos del ámbito provincial.</w:t>
      </w:r>
    </w:p>
    <w:p w14:paraId="763C92C3" w14:textId="3B9FA129" w:rsidR="00EA45F9" w:rsidRPr="004E10B7" w:rsidRDefault="00EA45F9" w:rsidP="008B5D7F">
      <w:pPr>
        <w:spacing w:line="240" w:lineRule="auto"/>
        <w:rPr>
          <w:lang w:val="es-AR"/>
        </w:rPr>
      </w:pPr>
      <w:r w:rsidRPr="004E10B7">
        <w:rPr>
          <w:lang w:val="es-AR"/>
        </w:rPr>
        <w:t xml:space="preserve">La recaudación de ingresos brutos también presenta sus dificultades, que vienen dadas principalmente porque no existe una </w:t>
      </w:r>
      <w:r w:rsidR="00C81C03">
        <w:rPr>
          <w:lang w:val="es-AR"/>
        </w:rPr>
        <w:t>única tasa que se aplique en cad</w:t>
      </w:r>
      <w:r w:rsidRPr="004E10B7">
        <w:rPr>
          <w:lang w:val="es-AR"/>
        </w:rPr>
        <w:t>a provincia, sino que se aplican tasas diferenciales por actividad, existiendo actividades exentas diferentes en casa provincia. Sin embargo, a efectos de poder avanzar en los cálculos del esfuerzo fiscal de las provincias argentinas, se propone en el presente trabajo calcular la “tasa efectiva</w:t>
      </w:r>
      <w:r w:rsidR="004E0A6E" w:rsidRPr="004E10B7">
        <w:rPr>
          <w:lang w:val="es-AR"/>
        </w:rPr>
        <w:t xml:space="preserve"> implícita</w:t>
      </w:r>
      <w:r w:rsidRPr="004E10B7">
        <w:rPr>
          <w:lang w:val="es-AR"/>
        </w:rPr>
        <w:t>” de recaudación de ingresos brutos respecto de su base tributaria.</w:t>
      </w:r>
    </w:p>
    <w:p w14:paraId="75EA57FB" w14:textId="1C2040A1" w:rsidR="00EA45F9" w:rsidRPr="004E10B7" w:rsidRDefault="00EA45F9" w:rsidP="008B5D7F">
      <w:pPr>
        <w:spacing w:line="240" w:lineRule="auto"/>
        <w:rPr>
          <w:lang w:val="es-AR"/>
        </w:rPr>
      </w:pPr>
      <w:r w:rsidRPr="004E10B7">
        <w:rPr>
          <w:lang w:val="es-AR"/>
        </w:rPr>
        <w:t xml:space="preserve">Dada la dificultad que supone estimar una base específica para ingresos brutos para las provincias argentinas, se propone considerar como base impositiva de este impuesto el PBG provincial, que si bien no coincide exactamente </w:t>
      </w:r>
      <w:r w:rsidR="00AA76FB" w:rsidRPr="004E10B7">
        <w:rPr>
          <w:lang w:val="es-AR"/>
        </w:rPr>
        <w:t>con la base imponible de ingresos brutos, al estar determinado por el nivel de actividad de las economías provinciales</w:t>
      </w:r>
      <w:r w:rsidRPr="004E10B7">
        <w:rPr>
          <w:lang w:val="es-AR"/>
        </w:rPr>
        <w:t xml:space="preserve"> </w:t>
      </w:r>
      <w:r w:rsidR="00AA76FB" w:rsidRPr="004E10B7">
        <w:rPr>
          <w:lang w:val="es-AR"/>
        </w:rPr>
        <w:t xml:space="preserve">se puede suponer que su </w:t>
      </w:r>
      <w:r w:rsidR="00AA76FB" w:rsidRPr="004E10B7">
        <w:rPr>
          <w:lang w:val="es-AR"/>
        </w:rPr>
        <w:lastRenderedPageBreak/>
        <w:t>evolución irá de la mano de las bases fiscales relacionados directamente con el impuesto a los ingresos brutos.</w:t>
      </w:r>
    </w:p>
    <w:p w14:paraId="0EB5819F" w14:textId="02A18279" w:rsidR="00AA76FB" w:rsidRPr="004E10B7" w:rsidRDefault="00AA76FB" w:rsidP="008B5D7F">
      <w:pPr>
        <w:spacing w:line="240" w:lineRule="auto"/>
        <w:rPr>
          <w:rFonts w:cstheme="minorHAnsi"/>
          <w:lang w:val="es-AR"/>
        </w:rPr>
      </w:pPr>
      <w:r w:rsidRPr="004E10B7">
        <w:rPr>
          <w:lang w:val="es-AR"/>
        </w:rPr>
        <w:t>De hecho</w:t>
      </w:r>
      <w:r w:rsidR="00464CE9">
        <w:rPr>
          <w:lang w:val="es-AR"/>
        </w:rPr>
        <w:t>,</w:t>
      </w:r>
      <w:r w:rsidRPr="004E10B7">
        <w:rPr>
          <w:lang w:val="es-AR"/>
        </w:rPr>
        <w:t xml:space="preserve"> según</w:t>
      </w:r>
      <w:r w:rsidRPr="004E10B7">
        <w:rPr>
          <w:rFonts w:cstheme="minorHAnsi"/>
          <w:lang w:val="es-AR"/>
        </w:rPr>
        <w:t xml:space="preserve"> Zapata (2012):</w:t>
      </w:r>
    </w:p>
    <w:p w14:paraId="643A6F53" w14:textId="77777777" w:rsidR="00AA76FB" w:rsidRPr="004E10B7" w:rsidRDefault="00AA76FB" w:rsidP="008B5D7F">
      <w:pPr>
        <w:spacing w:line="240" w:lineRule="auto"/>
        <w:ind w:left="709" w:right="709" w:firstLine="0"/>
        <w:rPr>
          <w:rFonts w:cstheme="minorHAnsi"/>
          <w:lang w:val="es-AR"/>
        </w:rPr>
      </w:pPr>
      <w:r w:rsidRPr="004E10B7">
        <w:rPr>
          <w:rFonts w:cstheme="minorHAnsi"/>
          <w:lang w:val="es-AR"/>
        </w:rPr>
        <w:t>El valor de la producción es igual al pago a todos los factores productivos participantes, por lo tanto el PRB [Producto Regional Bruto] refleja el ingreso de las empresas y los trabajadores de la región en un lapso de tiempo, por lo que resulta una buena aproximación al total de recursos potencialmente gravables en la región e incluye los ingresos generados en una región independientemente del lugar de residencia de trabajadores y productores. Sin embargo tiene la desventaja de agregar el valor de todas las actividades económicas generadas, en lugar de considerar que los diferentes tipos de bases potenciales de una región pueden estar sujetos a diversos niveles de recaudación.</w:t>
      </w:r>
    </w:p>
    <w:p w14:paraId="391729D5" w14:textId="7149A2D2" w:rsidR="001D07FD" w:rsidRPr="004E10B7" w:rsidRDefault="001D07FD" w:rsidP="008B5D7F">
      <w:pPr>
        <w:spacing w:line="240" w:lineRule="auto"/>
        <w:rPr>
          <w:rFonts w:cstheme="minorHAnsi"/>
          <w:lang w:val="es-AR"/>
        </w:rPr>
      </w:pPr>
      <w:r w:rsidRPr="004E10B7">
        <w:rPr>
          <w:rFonts w:cstheme="minorHAnsi"/>
          <w:lang w:val="es-AR"/>
        </w:rPr>
        <w:t>Siguiendo a este autor se plantea como primera aproximación a la medición de la CF el PBG provincial. Si bien podría argumentarse que es una medida muy general, que no toma en cuenta la base específica de cada impuesto, ni las diferencias existentes entre provincias que no permiten gravar de la misma manera los distintos PBG, sigue siendo una medida menos sesgada a las apreciaciones subjetivas, y se encuentran valores relativamente homogéneos para las provincias en comparación con otras variables. Cabe destacar que</w:t>
      </w:r>
      <w:r w:rsidR="00400293">
        <w:rPr>
          <w:rFonts w:cstheme="minorHAnsi"/>
          <w:lang w:val="es-AR"/>
        </w:rPr>
        <w:t>,</w:t>
      </w:r>
      <w:r w:rsidRPr="004E10B7">
        <w:rPr>
          <w:rFonts w:cstheme="minorHAnsi"/>
          <w:lang w:val="es-AR"/>
        </w:rPr>
        <w:t xml:space="preserve"> dadas las limitaciones de datos para todas las provincias sobre las bases imponibles reales, el PBG brinda información sobre una base imponible potencial general (sin tener en cuenta las características diferenciales de cada provincia).</w:t>
      </w:r>
    </w:p>
    <w:p w14:paraId="48ACA220" w14:textId="77777777" w:rsidR="001D07FD" w:rsidRPr="004E10B7" w:rsidRDefault="001D07FD" w:rsidP="008B5D7F">
      <w:pPr>
        <w:spacing w:line="240" w:lineRule="auto"/>
        <w:rPr>
          <w:rFonts w:cstheme="minorHAnsi"/>
          <w:lang w:val="es-AR"/>
        </w:rPr>
      </w:pPr>
      <w:r w:rsidRPr="004E10B7">
        <w:rPr>
          <w:rFonts w:cstheme="minorHAnsi"/>
          <w:lang w:val="es-AR"/>
        </w:rPr>
        <w:t>La segunda forma propuesta como aproximación a la CF de las provincias argentinas es la propuesta por Rabell García (2010) que define la CF como una razón que tiene en cuenta el desempeño medio de las provincias a analizar:</w:t>
      </w:r>
    </w:p>
    <w:p w14:paraId="21D485FC" w14:textId="77777777" w:rsidR="001D07FD" w:rsidRPr="004E10B7" w:rsidRDefault="001D07FD" w:rsidP="008B5D7F">
      <w:pPr>
        <w:spacing w:line="240" w:lineRule="auto"/>
        <w:rPr>
          <w:rFonts w:cstheme="minorHAnsi"/>
          <w:lang w:val="es-AR"/>
        </w:rPr>
      </w:pPr>
      <w:r w:rsidRPr="004E10B7">
        <w:rPr>
          <w:rFonts w:cstheme="minorHAnsi"/>
          <w:noProof/>
          <w:lang w:val="es-AR" w:eastAsia="es-AR"/>
        </w:rPr>
        <mc:AlternateContent>
          <mc:Choice Requires="wps">
            <w:drawing>
              <wp:anchor distT="0" distB="0" distL="114300" distR="114300" simplePos="0" relativeHeight="251665408" behindDoc="0" locked="0" layoutInCell="1" allowOverlap="1" wp14:anchorId="512270F4" wp14:editId="31541709">
                <wp:simplePos x="0" y="0"/>
                <wp:positionH relativeFrom="margin">
                  <wp:posOffset>1446530</wp:posOffset>
                </wp:positionH>
                <wp:positionV relativeFrom="paragraph">
                  <wp:posOffset>-1270</wp:posOffset>
                </wp:positionV>
                <wp:extent cx="2863215" cy="434975"/>
                <wp:effectExtent l="0" t="0" r="0" b="0"/>
                <wp:wrapNone/>
                <wp:docPr id="15" name="CuadroTexto 14"/>
                <wp:cNvGraphicFramePr/>
                <a:graphic xmlns:a="http://schemas.openxmlformats.org/drawingml/2006/main">
                  <a:graphicData uri="http://schemas.microsoft.com/office/word/2010/wordprocessingShape">
                    <wps:wsp>
                      <wps:cNvSpPr txBox="1"/>
                      <wps:spPr>
                        <a:xfrm>
                          <a:off x="0" y="0"/>
                          <a:ext cx="2863215" cy="43497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254C504" w14:textId="6F460A2C" w:rsidR="00EE621F" w:rsidRPr="00EB5209" w:rsidRDefault="00EE621F" w:rsidP="001D07FD">
                            <w:pPr>
                              <w:pStyle w:val="NormalWeb"/>
                              <w:spacing w:before="0" w:beforeAutospacing="0" w:after="0" w:afterAutospacing="0"/>
                              <w:rPr>
                                <w:rFonts w:asciiTheme="minorHAnsi" w:hAnsiTheme="minorHAnsi" w:cstheme="minorHAnsi"/>
                                <w:sz w:val="22"/>
                                <w:szCs w:val="22"/>
                              </w:rPr>
                            </w:pPr>
                            <m:oMathPara>
                              <m:oMathParaPr>
                                <m:jc m:val="centerGroup"/>
                              </m:oMathParaPr>
                              <m:oMath>
                                <m:sSub>
                                  <m:sSubPr>
                                    <m:ctrlPr>
                                      <w:rPr>
                                        <w:rFonts w:ascii="Cambria Math" w:hAnsi="Cambria Math" w:cstheme="minorHAnsi"/>
                                        <w:i/>
                                        <w:iCs/>
                                        <w:color w:val="000000" w:themeColor="text1"/>
                                        <w:kern w:val="24"/>
                                        <w:sz w:val="22"/>
                                        <w:szCs w:val="22"/>
                                        <w:lang w:val="es-AR"/>
                                      </w:rPr>
                                    </m:ctrlPr>
                                  </m:sSubPr>
                                  <m:e>
                                    <m:r>
                                      <w:rPr>
                                        <w:rFonts w:ascii="Cambria Math" w:hAnsi="Cambria Math" w:cstheme="minorHAnsi"/>
                                        <w:color w:val="000000" w:themeColor="text1"/>
                                        <w:kern w:val="24"/>
                                        <w:sz w:val="22"/>
                                        <w:szCs w:val="22"/>
                                        <w:lang w:val="es-AR"/>
                                      </w:rPr>
                                      <m:t>CF1</m:t>
                                    </m:r>
                                  </m:e>
                                  <m:sub>
                                    <m:r>
                                      <w:rPr>
                                        <w:rFonts w:ascii="Cambria Math" w:hAnsi="Cambria Math" w:cstheme="minorHAnsi"/>
                                        <w:color w:val="000000" w:themeColor="text1"/>
                                        <w:kern w:val="24"/>
                                        <w:sz w:val="22"/>
                                        <w:szCs w:val="22"/>
                                        <w:lang w:val="es-AR"/>
                                      </w:rPr>
                                      <m:t>i</m:t>
                                    </m:r>
                                  </m:sub>
                                </m:sSub>
                                <m:r>
                                  <w:rPr>
                                    <w:rFonts w:ascii="Cambria Math" w:hAnsi="Cambria Math" w:cstheme="minorHAnsi"/>
                                    <w:color w:val="000000" w:themeColor="text1"/>
                                    <w:kern w:val="24"/>
                                    <w:sz w:val="22"/>
                                    <w:szCs w:val="22"/>
                                    <w:lang w:val="es-AR"/>
                                  </w:rPr>
                                  <m:t>=</m:t>
                                </m:r>
                                <m:f>
                                  <m:fPr>
                                    <m:ctrlPr>
                                      <w:rPr>
                                        <w:rFonts w:ascii="Cambria Math" w:hAnsi="Cambria Math" w:cstheme="minorHAnsi"/>
                                        <w:i/>
                                        <w:iCs/>
                                        <w:color w:val="000000" w:themeColor="text1"/>
                                        <w:kern w:val="24"/>
                                        <w:sz w:val="22"/>
                                        <w:szCs w:val="22"/>
                                        <w:lang w:val="es-AR"/>
                                      </w:rPr>
                                    </m:ctrlPr>
                                  </m:fPr>
                                  <m:num>
                                    <m:sSub>
                                      <m:sSubPr>
                                        <m:ctrlPr>
                                          <w:rPr>
                                            <w:rFonts w:ascii="Cambria Math" w:hAnsi="Cambria Math" w:cstheme="minorHAnsi"/>
                                            <w:i/>
                                            <w:iCs/>
                                            <w:color w:val="000000" w:themeColor="text1"/>
                                            <w:kern w:val="24"/>
                                            <w:sz w:val="22"/>
                                            <w:szCs w:val="22"/>
                                            <w:lang w:val="es-AR"/>
                                          </w:rPr>
                                        </m:ctrlPr>
                                      </m:sSubPr>
                                      <m:e>
                                        <m:r>
                                          <w:rPr>
                                            <w:rFonts w:ascii="Cambria Math" w:hAnsi="Cambria Math" w:cstheme="minorHAnsi"/>
                                            <w:color w:val="000000" w:themeColor="text1"/>
                                            <w:kern w:val="24"/>
                                            <w:sz w:val="22"/>
                                            <w:szCs w:val="22"/>
                                            <w:lang w:val="es-AR"/>
                                          </w:rPr>
                                          <m:t>Base per cap</m:t>
                                        </m:r>
                                      </m:e>
                                      <m:sub>
                                        <m:r>
                                          <w:rPr>
                                            <w:rFonts w:ascii="Cambria Math" w:hAnsi="Cambria Math" w:cstheme="minorHAnsi"/>
                                            <w:color w:val="000000" w:themeColor="text1"/>
                                            <w:kern w:val="24"/>
                                            <w:sz w:val="22"/>
                                            <w:szCs w:val="22"/>
                                            <w:lang w:val="es-AR"/>
                                          </w:rPr>
                                          <m:t>i</m:t>
                                        </m:r>
                                      </m:sub>
                                    </m:sSub>
                                    <m:r>
                                      <w:rPr>
                                        <w:rFonts w:ascii="Cambria Math" w:hAnsi="Cambria Math" w:cstheme="minorHAnsi"/>
                                        <w:color w:val="000000" w:themeColor="text1"/>
                                        <w:kern w:val="24"/>
                                        <w:sz w:val="22"/>
                                        <w:szCs w:val="22"/>
                                        <w:lang w:val="es-AR"/>
                                      </w:rPr>
                                      <m:t>*</m:t>
                                    </m:r>
                                    <m:sSub>
                                      <m:sSubPr>
                                        <m:ctrlPr>
                                          <w:rPr>
                                            <w:rFonts w:ascii="Cambria Math" w:hAnsi="Cambria Math" w:cstheme="minorHAnsi"/>
                                            <w:i/>
                                            <w:iCs/>
                                            <w:color w:val="000000" w:themeColor="text1"/>
                                            <w:kern w:val="24"/>
                                            <w:sz w:val="22"/>
                                            <w:szCs w:val="22"/>
                                            <w:lang w:val="es-AR"/>
                                          </w:rPr>
                                        </m:ctrlPr>
                                      </m:sSubPr>
                                      <m:e>
                                        <m:r>
                                          <w:rPr>
                                            <w:rFonts w:ascii="Cambria Math" w:hAnsi="Cambria Math" w:cstheme="minorHAnsi"/>
                                            <w:color w:val="000000" w:themeColor="text1"/>
                                            <w:kern w:val="24"/>
                                            <w:sz w:val="22"/>
                                            <w:szCs w:val="22"/>
                                            <w:lang w:val="es-AR"/>
                                          </w:rPr>
                                          <m:t>t</m:t>
                                        </m:r>
                                      </m:e>
                                      <m:sub>
                                        <m:r>
                                          <w:rPr>
                                            <w:rFonts w:ascii="Cambria Math" w:hAnsi="Cambria Math" w:cstheme="minorHAnsi"/>
                                            <w:color w:val="000000" w:themeColor="text1"/>
                                            <w:kern w:val="24"/>
                                            <w:sz w:val="22"/>
                                            <w:szCs w:val="22"/>
                                            <w:lang w:val="es-AR"/>
                                          </w:rPr>
                                          <m:t>promedio</m:t>
                                        </m:r>
                                      </m:sub>
                                    </m:sSub>
                                  </m:num>
                                  <m:den>
                                    <m:sSub>
                                      <m:sSubPr>
                                        <m:ctrlPr>
                                          <w:rPr>
                                            <w:rFonts w:ascii="Cambria Math" w:hAnsi="Cambria Math" w:cstheme="minorHAnsi"/>
                                            <w:i/>
                                            <w:iCs/>
                                            <w:color w:val="000000" w:themeColor="text1"/>
                                            <w:kern w:val="24"/>
                                            <w:sz w:val="22"/>
                                            <w:szCs w:val="22"/>
                                            <w:lang w:val="es-AR"/>
                                          </w:rPr>
                                        </m:ctrlPr>
                                      </m:sSubPr>
                                      <m:e>
                                        <m:r>
                                          <w:rPr>
                                            <w:rFonts w:ascii="Cambria Math" w:hAnsi="Cambria Math" w:cstheme="minorHAnsi"/>
                                            <w:color w:val="000000" w:themeColor="text1"/>
                                            <w:kern w:val="24"/>
                                            <w:sz w:val="22"/>
                                            <w:szCs w:val="22"/>
                                            <w:lang w:val="es-AR"/>
                                          </w:rPr>
                                          <m:t>Base per cap</m:t>
                                        </m:r>
                                      </m:e>
                                      <m:sub>
                                        <m:r>
                                          <w:rPr>
                                            <w:rFonts w:ascii="Cambria Math" w:hAnsi="Cambria Math" w:cstheme="minorHAnsi"/>
                                            <w:color w:val="000000" w:themeColor="text1"/>
                                            <w:kern w:val="24"/>
                                            <w:sz w:val="22"/>
                                            <w:szCs w:val="22"/>
                                            <w:lang w:val="es-AR"/>
                                          </w:rPr>
                                          <m:t>promedio</m:t>
                                        </m:r>
                                      </m:sub>
                                    </m:sSub>
                                    <m:r>
                                      <w:rPr>
                                        <w:rFonts w:ascii="Cambria Math" w:hAnsi="Cambria Math" w:cstheme="minorHAnsi"/>
                                        <w:color w:val="000000" w:themeColor="text1"/>
                                        <w:kern w:val="24"/>
                                        <w:sz w:val="22"/>
                                        <w:szCs w:val="22"/>
                                        <w:lang w:val="es-AR"/>
                                      </w:rPr>
                                      <m:t>*</m:t>
                                    </m:r>
                                    <m:sSub>
                                      <m:sSubPr>
                                        <m:ctrlPr>
                                          <w:rPr>
                                            <w:rFonts w:ascii="Cambria Math" w:hAnsi="Cambria Math" w:cstheme="minorHAnsi"/>
                                            <w:i/>
                                            <w:iCs/>
                                            <w:color w:val="000000" w:themeColor="text1"/>
                                            <w:kern w:val="24"/>
                                            <w:sz w:val="22"/>
                                            <w:szCs w:val="22"/>
                                            <w:lang w:val="es-AR"/>
                                          </w:rPr>
                                        </m:ctrlPr>
                                      </m:sSubPr>
                                      <m:e>
                                        <m:r>
                                          <w:rPr>
                                            <w:rFonts w:ascii="Cambria Math" w:hAnsi="Cambria Math" w:cstheme="minorHAnsi"/>
                                            <w:color w:val="000000" w:themeColor="text1"/>
                                            <w:kern w:val="24"/>
                                            <w:sz w:val="22"/>
                                            <w:szCs w:val="22"/>
                                            <w:lang w:val="es-AR"/>
                                          </w:rPr>
                                          <m:t>t</m:t>
                                        </m:r>
                                      </m:e>
                                      <m:sub>
                                        <m:r>
                                          <w:rPr>
                                            <w:rFonts w:ascii="Cambria Math" w:hAnsi="Cambria Math" w:cstheme="minorHAnsi"/>
                                            <w:color w:val="000000" w:themeColor="text1"/>
                                            <w:kern w:val="24"/>
                                            <w:sz w:val="22"/>
                                            <w:szCs w:val="22"/>
                                            <w:lang w:val="es-AR"/>
                                          </w:rPr>
                                          <m:t>promedio</m:t>
                                        </m:r>
                                      </m:sub>
                                    </m:sSub>
                                  </m:den>
                                </m:f>
                              </m:oMath>
                            </m:oMathPara>
                          </w:p>
                        </w:txbxContent>
                      </wps:txbx>
                      <wps:bodyPr wrap="none" lIns="0" tIns="0" rIns="0" bIns="0" rtlCol="0" anchor="t">
                        <a:spAutoFit/>
                      </wps:bodyPr>
                    </wps:wsp>
                  </a:graphicData>
                </a:graphic>
              </wp:anchor>
            </w:drawing>
          </mc:Choice>
          <mc:Fallback>
            <w:pict>
              <v:shape w14:anchorId="512270F4" id="_x0000_s1029" type="#_x0000_t202" style="position:absolute;left:0;text-align:left;margin-left:113.9pt;margin-top:-.1pt;width:225.45pt;height:34.25pt;z-index:25166540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9VVAQIAAFMEAAAOAAAAZHJzL2Uyb0RvYy54bWysVNtu2zAMfR+wfxD0vji3dm0Qp9hSdBgw&#10;rMPafYAsS7EBSRQoJXb+fpQcu8P21GIvikzxcngOme1dbw07KQwtuJIvZnPOlJNQt+5Q8l/PDx9u&#10;OAtRuFoYcKrkZxX43e79u23nN2oJDZhaIaMkLmw6X/ImRr8piiAbZUWYgVeOHjWgFZE+8VDUKDrK&#10;bk2xnM+viw6w9ghShUDW++GR73J+rZWMj1oHFZkpOWGL+cR8VuksdluxOaDwTSsvMMQbUFjROio6&#10;pboXUbAjtv+ksq1ECKDjTIItQOtWqtwDdbOY/9XNUyO8yr0QOcFPNIX/l1Z+P/1A1tak3RVnTljS&#10;aH8UNcKz6iOwxTpR1PmwIc8nT76x/ww9uY/2QMbUea/Rpl/qidE7kX2eCKZUTJJxeXO9WqZCkt7W&#10;q/Xtx6uUpniJ9hjiFwWWpUvJkQTMvIrTtxAH19ElFXPw0BqT7AniACXf4tmo5GDcT6Wpv4woGYLE&#10;Q7U3yIYhoCklpOMoEJAckBw1JX5l7CUkRas8e6+Mn4JyfXBxiretA8xE5M1QqYGToJmOfRaCgOvB&#10;f6RiICBxEfuqzwqvRskqqM+kZEdjX3JHe8mZ+epoqtKGjBccL9V4wWj2MOyRcLIBYnAQJ/hPx0hK&#10;ZIFSyaHABQpNbpb4smVpNf78zl4v/wW73wAAAP//AwBQSwMEFAAGAAgAAAAhAF2lxjzbAAAACAEA&#10;AA8AAABkcnMvZG93bnJldi54bWxMj0FLxDAQhe+C/yGM4G03tcK21KaLLHjx5iqCt2wz2xSTSUmy&#10;3fbfO570No/3eO+bdr94J2aMaQyk4GFbgEDqgxlpUPDx/rKpQaSsyWgXCBWsmGDf3d60ujHhSm84&#10;H/MguIRSoxXYnKdGytRb9Dptw4TE3jlErzPLOEgT9ZXLvZNlUeyk1yPxgtUTHiz238eLV1AtnwGn&#10;hAf8Os99tONau9dVqfu75fkJRMYl/4XhF5/RoWOmU7iQScIpKMuK0bOCTQmC/V1VVyBOfNSPILtW&#10;/n+g+wEAAP//AwBQSwECLQAUAAYACAAAACEAtoM4kv4AAADhAQAAEwAAAAAAAAAAAAAAAAAAAAAA&#10;W0NvbnRlbnRfVHlwZXNdLnhtbFBLAQItABQABgAIAAAAIQA4/SH/1gAAAJQBAAALAAAAAAAAAAAA&#10;AAAAAC8BAABfcmVscy8ucmVsc1BLAQItABQABgAIAAAAIQAe09VVAQIAAFMEAAAOAAAAAAAAAAAA&#10;AAAAAC4CAABkcnMvZTJvRG9jLnhtbFBLAQItABQABgAIAAAAIQBdpcY82wAAAAgBAAAPAAAAAAAA&#10;AAAAAAAAAFsEAABkcnMvZG93bnJldi54bWxQSwUGAAAAAAQABADzAAAAYwUAAAAA&#10;" filled="f" stroked="f">
                <v:textbox style="mso-fit-shape-to-text:t" inset="0,0,0,0">
                  <w:txbxContent>
                    <w:p w14:paraId="7254C504" w14:textId="6F460A2C" w:rsidR="00EE621F" w:rsidRPr="00EB5209" w:rsidRDefault="00EE621F" w:rsidP="001D07FD">
                      <w:pPr>
                        <w:pStyle w:val="NormalWeb"/>
                        <w:spacing w:before="0" w:beforeAutospacing="0" w:after="0" w:afterAutospacing="0"/>
                        <w:rPr>
                          <w:rFonts w:asciiTheme="minorHAnsi" w:hAnsiTheme="minorHAnsi" w:cstheme="minorHAnsi"/>
                          <w:sz w:val="22"/>
                          <w:szCs w:val="22"/>
                        </w:rPr>
                      </w:pPr>
                      <m:oMathPara>
                        <m:oMathParaPr>
                          <m:jc m:val="centerGroup"/>
                        </m:oMathParaPr>
                        <m:oMath>
                          <m:sSub>
                            <m:sSubPr>
                              <m:ctrlPr>
                                <w:rPr>
                                  <w:rFonts w:ascii="Cambria Math" w:hAnsi="Cambria Math" w:cstheme="minorHAnsi"/>
                                  <w:i/>
                                  <w:iCs/>
                                  <w:color w:val="000000" w:themeColor="text1"/>
                                  <w:kern w:val="24"/>
                                  <w:sz w:val="22"/>
                                  <w:szCs w:val="22"/>
                                  <w:lang w:val="es-AR"/>
                                </w:rPr>
                              </m:ctrlPr>
                            </m:sSubPr>
                            <m:e>
                              <m:r>
                                <w:rPr>
                                  <w:rFonts w:ascii="Cambria Math" w:hAnsi="Cambria Math" w:cstheme="minorHAnsi"/>
                                  <w:color w:val="000000" w:themeColor="text1"/>
                                  <w:kern w:val="24"/>
                                  <w:sz w:val="22"/>
                                  <w:szCs w:val="22"/>
                                  <w:lang w:val="es-AR"/>
                                </w:rPr>
                                <m:t>CF1</m:t>
                              </m:r>
                            </m:e>
                            <m:sub>
                              <m:r>
                                <w:rPr>
                                  <w:rFonts w:ascii="Cambria Math" w:hAnsi="Cambria Math" w:cstheme="minorHAnsi"/>
                                  <w:color w:val="000000" w:themeColor="text1"/>
                                  <w:kern w:val="24"/>
                                  <w:sz w:val="22"/>
                                  <w:szCs w:val="22"/>
                                  <w:lang w:val="es-AR"/>
                                </w:rPr>
                                <m:t>i</m:t>
                              </m:r>
                            </m:sub>
                          </m:sSub>
                          <m:r>
                            <w:rPr>
                              <w:rFonts w:ascii="Cambria Math" w:hAnsi="Cambria Math" w:cstheme="minorHAnsi"/>
                              <w:color w:val="000000" w:themeColor="text1"/>
                              <w:kern w:val="24"/>
                              <w:sz w:val="22"/>
                              <w:szCs w:val="22"/>
                              <w:lang w:val="es-AR"/>
                            </w:rPr>
                            <m:t>=</m:t>
                          </m:r>
                          <m:f>
                            <m:fPr>
                              <m:ctrlPr>
                                <w:rPr>
                                  <w:rFonts w:ascii="Cambria Math" w:hAnsi="Cambria Math" w:cstheme="minorHAnsi"/>
                                  <w:i/>
                                  <w:iCs/>
                                  <w:color w:val="000000" w:themeColor="text1"/>
                                  <w:kern w:val="24"/>
                                  <w:sz w:val="22"/>
                                  <w:szCs w:val="22"/>
                                  <w:lang w:val="es-AR"/>
                                </w:rPr>
                              </m:ctrlPr>
                            </m:fPr>
                            <m:num>
                              <m:sSub>
                                <m:sSubPr>
                                  <m:ctrlPr>
                                    <w:rPr>
                                      <w:rFonts w:ascii="Cambria Math" w:hAnsi="Cambria Math" w:cstheme="minorHAnsi"/>
                                      <w:i/>
                                      <w:iCs/>
                                      <w:color w:val="000000" w:themeColor="text1"/>
                                      <w:kern w:val="24"/>
                                      <w:sz w:val="22"/>
                                      <w:szCs w:val="22"/>
                                      <w:lang w:val="es-AR"/>
                                    </w:rPr>
                                  </m:ctrlPr>
                                </m:sSubPr>
                                <m:e>
                                  <m:r>
                                    <w:rPr>
                                      <w:rFonts w:ascii="Cambria Math" w:hAnsi="Cambria Math" w:cstheme="minorHAnsi"/>
                                      <w:color w:val="000000" w:themeColor="text1"/>
                                      <w:kern w:val="24"/>
                                      <w:sz w:val="22"/>
                                      <w:szCs w:val="22"/>
                                      <w:lang w:val="es-AR"/>
                                    </w:rPr>
                                    <m:t>Base per cap</m:t>
                                  </m:r>
                                </m:e>
                                <m:sub>
                                  <m:r>
                                    <w:rPr>
                                      <w:rFonts w:ascii="Cambria Math" w:hAnsi="Cambria Math" w:cstheme="minorHAnsi"/>
                                      <w:color w:val="000000" w:themeColor="text1"/>
                                      <w:kern w:val="24"/>
                                      <w:sz w:val="22"/>
                                      <w:szCs w:val="22"/>
                                      <w:lang w:val="es-AR"/>
                                    </w:rPr>
                                    <m:t>i</m:t>
                                  </m:r>
                                </m:sub>
                              </m:sSub>
                              <m:r>
                                <w:rPr>
                                  <w:rFonts w:ascii="Cambria Math" w:hAnsi="Cambria Math" w:cstheme="minorHAnsi"/>
                                  <w:color w:val="000000" w:themeColor="text1"/>
                                  <w:kern w:val="24"/>
                                  <w:sz w:val="22"/>
                                  <w:szCs w:val="22"/>
                                  <w:lang w:val="es-AR"/>
                                </w:rPr>
                                <m:t>*</m:t>
                              </m:r>
                              <m:sSub>
                                <m:sSubPr>
                                  <m:ctrlPr>
                                    <w:rPr>
                                      <w:rFonts w:ascii="Cambria Math" w:hAnsi="Cambria Math" w:cstheme="minorHAnsi"/>
                                      <w:i/>
                                      <w:iCs/>
                                      <w:color w:val="000000" w:themeColor="text1"/>
                                      <w:kern w:val="24"/>
                                      <w:sz w:val="22"/>
                                      <w:szCs w:val="22"/>
                                      <w:lang w:val="es-AR"/>
                                    </w:rPr>
                                  </m:ctrlPr>
                                </m:sSubPr>
                                <m:e>
                                  <m:r>
                                    <w:rPr>
                                      <w:rFonts w:ascii="Cambria Math" w:hAnsi="Cambria Math" w:cstheme="minorHAnsi"/>
                                      <w:color w:val="000000" w:themeColor="text1"/>
                                      <w:kern w:val="24"/>
                                      <w:sz w:val="22"/>
                                      <w:szCs w:val="22"/>
                                      <w:lang w:val="es-AR"/>
                                    </w:rPr>
                                    <m:t>t</m:t>
                                  </m:r>
                                </m:e>
                                <m:sub>
                                  <m:r>
                                    <w:rPr>
                                      <w:rFonts w:ascii="Cambria Math" w:hAnsi="Cambria Math" w:cstheme="minorHAnsi"/>
                                      <w:color w:val="000000" w:themeColor="text1"/>
                                      <w:kern w:val="24"/>
                                      <w:sz w:val="22"/>
                                      <w:szCs w:val="22"/>
                                      <w:lang w:val="es-AR"/>
                                    </w:rPr>
                                    <m:t>promedio</m:t>
                                  </m:r>
                                </m:sub>
                              </m:sSub>
                            </m:num>
                            <m:den>
                              <m:sSub>
                                <m:sSubPr>
                                  <m:ctrlPr>
                                    <w:rPr>
                                      <w:rFonts w:ascii="Cambria Math" w:hAnsi="Cambria Math" w:cstheme="minorHAnsi"/>
                                      <w:i/>
                                      <w:iCs/>
                                      <w:color w:val="000000" w:themeColor="text1"/>
                                      <w:kern w:val="24"/>
                                      <w:sz w:val="22"/>
                                      <w:szCs w:val="22"/>
                                      <w:lang w:val="es-AR"/>
                                    </w:rPr>
                                  </m:ctrlPr>
                                </m:sSubPr>
                                <m:e>
                                  <m:r>
                                    <w:rPr>
                                      <w:rFonts w:ascii="Cambria Math" w:hAnsi="Cambria Math" w:cstheme="minorHAnsi"/>
                                      <w:color w:val="000000" w:themeColor="text1"/>
                                      <w:kern w:val="24"/>
                                      <w:sz w:val="22"/>
                                      <w:szCs w:val="22"/>
                                      <w:lang w:val="es-AR"/>
                                    </w:rPr>
                                    <m:t>Base per cap</m:t>
                                  </m:r>
                                </m:e>
                                <m:sub>
                                  <m:r>
                                    <w:rPr>
                                      <w:rFonts w:ascii="Cambria Math" w:hAnsi="Cambria Math" w:cstheme="minorHAnsi"/>
                                      <w:color w:val="000000" w:themeColor="text1"/>
                                      <w:kern w:val="24"/>
                                      <w:sz w:val="22"/>
                                      <w:szCs w:val="22"/>
                                      <w:lang w:val="es-AR"/>
                                    </w:rPr>
                                    <m:t>promedio</m:t>
                                  </m:r>
                                </m:sub>
                              </m:sSub>
                              <m:r>
                                <w:rPr>
                                  <w:rFonts w:ascii="Cambria Math" w:hAnsi="Cambria Math" w:cstheme="minorHAnsi"/>
                                  <w:color w:val="000000" w:themeColor="text1"/>
                                  <w:kern w:val="24"/>
                                  <w:sz w:val="22"/>
                                  <w:szCs w:val="22"/>
                                  <w:lang w:val="es-AR"/>
                                </w:rPr>
                                <m:t>*</m:t>
                              </m:r>
                              <m:sSub>
                                <m:sSubPr>
                                  <m:ctrlPr>
                                    <w:rPr>
                                      <w:rFonts w:ascii="Cambria Math" w:hAnsi="Cambria Math" w:cstheme="minorHAnsi"/>
                                      <w:i/>
                                      <w:iCs/>
                                      <w:color w:val="000000" w:themeColor="text1"/>
                                      <w:kern w:val="24"/>
                                      <w:sz w:val="22"/>
                                      <w:szCs w:val="22"/>
                                      <w:lang w:val="es-AR"/>
                                    </w:rPr>
                                  </m:ctrlPr>
                                </m:sSubPr>
                                <m:e>
                                  <m:r>
                                    <w:rPr>
                                      <w:rFonts w:ascii="Cambria Math" w:hAnsi="Cambria Math" w:cstheme="minorHAnsi"/>
                                      <w:color w:val="000000" w:themeColor="text1"/>
                                      <w:kern w:val="24"/>
                                      <w:sz w:val="22"/>
                                      <w:szCs w:val="22"/>
                                      <w:lang w:val="es-AR"/>
                                    </w:rPr>
                                    <m:t>t</m:t>
                                  </m:r>
                                </m:e>
                                <m:sub>
                                  <m:r>
                                    <w:rPr>
                                      <w:rFonts w:ascii="Cambria Math" w:hAnsi="Cambria Math" w:cstheme="minorHAnsi"/>
                                      <w:color w:val="000000" w:themeColor="text1"/>
                                      <w:kern w:val="24"/>
                                      <w:sz w:val="22"/>
                                      <w:szCs w:val="22"/>
                                      <w:lang w:val="es-AR"/>
                                    </w:rPr>
                                    <m:t>promedio</m:t>
                                  </m:r>
                                </m:sub>
                              </m:sSub>
                            </m:den>
                          </m:f>
                        </m:oMath>
                      </m:oMathPara>
                    </w:p>
                  </w:txbxContent>
                </v:textbox>
                <w10:wrap anchorx="margin"/>
              </v:shape>
            </w:pict>
          </mc:Fallback>
        </mc:AlternateContent>
      </w:r>
    </w:p>
    <w:p w14:paraId="7124DEA6" w14:textId="77777777" w:rsidR="001D07FD" w:rsidRPr="004E10B7" w:rsidRDefault="001D07FD" w:rsidP="008B5D7F">
      <w:pPr>
        <w:spacing w:line="240" w:lineRule="auto"/>
        <w:rPr>
          <w:rFonts w:cstheme="minorHAnsi"/>
          <w:lang w:val="es-AR"/>
        </w:rPr>
      </w:pPr>
    </w:p>
    <w:p w14:paraId="2E7E78CC" w14:textId="482AECD7" w:rsidR="001D07FD" w:rsidRPr="004E10B7" w:rsidRDefault="001D07FD" w:rsidP="008B5D7F">
      <w:pPr>
        <w:spacing w:line="240" w:lineRule="auto"/>
        <w:rPr>
          <w:rFonts w:cstheme="minorHAnsi"/>
          <w:lang w:val="es-AR"/>
        </w:rPr>
      </w:pPr>
      <w:r w:rsidRPr="004E10B7">
        <w:rPr>
          <w:rFonts w:cstheme="minorHAnsi"/>
          <w:lang w:val="es-AR"/>
        </w:rPr>
        <w:t xml:space="preserve">En este caso la CF se calcula como la relación entre la recaudación de la comunidad </w:t>
      </w:r>
      <m:oMath>
        <m:r>
          <w:rPr>
            <w:rFonts w:ascii="Cambria Math" w:hAnsi="Cambria Math" w:cstheme="minorHAnsi"/>
            <w:lang w:val="es-AR"/>
          </w:rPr>
          <m:t>i</m:t>
        </m:r>
      </m:oMath>
      <w:r w:rsidRPr="004E10B7">
        <w:rPr>
          <w:rFonts w:cstheme="minorHAnsi"/>
          <w:lang w:val="es-AR"/>
        </w:rPr>
        <w:t xml:space="preserve"> si se aplicara la tasa impositiva promedio, y la tasa promedio por la base promedio de las comunidades analizadas teniendo en cuenta la población de cada comunidad. El caso presentado por el autor se encuentra normalizado dividiendo la recaudación impositiva que sería recolectada por un gobierno si se aplicara la tasa promedio de las comunidades a la base fiscal per cápita, por la cuantía de impuestos que se recaudaría si se aplicara la tasa promedio a la base fiscal per cápita promedio.</w:t>
      </w:r>
    </w:p>
    <w:p w14:paraId="44ECF291" w14:textId="20945729" w:rsidR="001D07FD" w:rsidRPr="004E10B7" w:rsidRDefault="001D07FD" w:rsidP="008B5D7F">
      <w:pPr>
        <w:spacing w:line="240" w:lineRule="auto"/>
        <w:rPr>
          <w:rFonts w:cstheme="minorHAnsi"/>
          <w:lang w:val="es-AR"/>
        </w:rPr>
      </w:pPr>
      <w:r w:rsidRPr="004E10B7">
        <w:rPr>
          <w:rFonts w:cstheme="minorHAnsi"/>
          <w:lang w:val="es-AR"/>
        </w:rPr>
        <w:t>De ahora en adelante se denotará a este cálculo de CF como “CF1”.</w:t>
      </w:r>
      <w:r w:rsidR="004E0A6E" w:rsidRPr="004E10B7">
        <w:rPr>
          <w:rFonts w:cstheme="minorHAnsi"/>
          <w:lang w:val="es-AR"/>
        </w:rPr>
        <w:t xml:space="preserve"> La aproximación al</w:t>
      </w:r>
      <w:r w:rsidRPr="004E10B7">
        <w:rPr>
          <w:rFonts w:cstheme="minorHAnsi"/>
          <w:lang w:val="es-AR"/>
        </w:rPr>
        <w:t xml:space="preserve"> cálculo de EF relacionado </w:t>
      </w:r>
      <w:r w:rsidR="004E0A6E" w:rsidRPr="004E10B7">
        <w:rPr>
          <w:rFonts w:cstheme="minorHAnsi"/>
          <w:lang w:val="es-AR"/>
        </w:rPr>
        <w:t>CF1 propuesta por el autor es la siguiente:</w:t>
      </w:r>
    </w:p>
    <w:p w14:paraId="3EDB42CB" w14:textId="64B67089" w:rsidR="001D07FD" w:rsidRPr="004E10B7" w:rsidRDefault="001D07FD" w:rsidP="008B5D7F">
      <w:pPr>
        <w:spacing w:line="240" w:lineRule="auto"/>
        <w:rPr>
          <w:rFonts w:cstheme="minorHAnsi"/>
          <w:lang w:val="es-AR"/>
        </w:rPr>
      </w:pPr>
      <w:r w:rsidRPr="004E10B7">
        <w:rPr>
          <w:rFonts w:cstheme="minorHAnsi"/>
          <w:noProof/>
          <w:lang w:val="es-AR" w:eastAsia="es-AR"/>
        </w:rPr>
        <mc:AlternateContent>
          <mc:Choice Requires="wps">
            <w:drawing>
              <wp:anchor distT="0" distB="0" distL="114300" distR="114300" simplePos="0" relativeHeight="251667456" behindDoc="0" locked="0" layoutInCell="1" allowOverlap="1" wp14:anchorId="7317AF95" wp14:editId="3FB8FAE3">
                <wp:simplePos x="0" y="0"/>
                <wp:positionH relativeFrom="margin">
                  <wp:align>center</wp:align>
                </wp:positionH>
                <wp:positionV relativeFrom="paragraph">
                  <wp:posOffset>10633</wp:posOffset>
                </wp:positionV>
                <wp:extent cx="2315249" cy="435504"/>
                <wp:effectExtent l="0" t="0" r="0" b="0"/>
                <wp:wrapNone/>
                <wp:docPr id="14" name="CuadroTexto 13"/>
                <wp:cNvGraphicFramePr/>
                <a:graphic xmlns:a="http://schemas.openxmlformats.org/drawingml/2006/main">
                  <a:graphicData uri="http://schemas.microsoft.com/office/word/2010/wordprocessingShape">
                    <wps:wsp>
                      <wps:cNvSpPr txBox="1"/>
                      <wps:spPr>
                        <a:xfrm>
                          <a:off x="0" y="0"/>
                          <a:ext cx="2315249" cy="435504"/>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3AD76EB" w14:textId="6D0131B8" w:rsidR="00EE621F" w:rsidRPr="001D07FD" w:rsidRDefault="00EE621F" w:rsidP="001D07FD">
                            <w:pPr>
                              <w:pStyle w:val="NormalWeb"/>
                              <w:spacing w:before="0" w:beforeAutospacing="0" w:after="0" w:afterAutospacing="0"/>
                              <w:rPr>
                                <w:sz w:val="22"/>
                                <w:szCs w:val="22"/>
                              </w:rPr>
                            </w:pPr>
                            <m:oMathPara>
                              <m:oMathParaPr>
                                <m:jc m:val="centerGroup"/>
                              </m:oMathParaPr>
                              <m:oMath>
                                <m:sSub>
                                  <m:sSubPr>
                                    <m:ctrlPr>
                                      <w:rPr>
                                        <w:rFonts w:ascii="Cambria Math" w:hAnsi="Cambria Math" w:cstheme="minorBidi"/>
                                        <w:i/>
                                        <w:iCs/>
                                        <w:color w:val="000000" w:themeColor="text1"/>
                                        <w:kern w:val="24"/>
                                        <w:sz w:val="22"/>
                                        <w:szCs w:val="22"/>
                                        <w:lang w:val="es-AR"/>
                                      </w:rPr>
                                    </m:ctrlPr>
                                  </m:sSubPr>
                                  <m:e>
                                    <m:r>
                                      <w:rPr>
                                        <w:rFonts w:ascii="Cambria Math" w:hAnsi="Cambria Math" w:cstheme="minorBidi"/>
                                        <w:color w:val="000000" w:themeColor="text1"/>
                                        <w:kern w:val="24"/>
                                        <w:sz w:val="22"/>
                                        <w:szCs w:val="22"/>
                                        <w:lang w:val="es-AR"/>
                                      </w:rPr>
                                      <m:t>EF1</m:t>
                                    </m:r>
                                  </m:e>
                                  <m:sub>
                                    <m:r>
                                      <w:rPr>
                                        <w:rFonts w:ascii="Cambria Math" w:hAnsi="Cambria Math" w:cstheme="minorBidi"/>
                                        <w:color w:val="000000" w:themeColor="text1"/>
                                        <w:kern w:val="24"/>
                                        <w:sz w:val="22"/>
                                        <w:szCs w:val="22"/>
                                        <w:lang w:val="es-AR"/>
                                      </w:rPr>
                                      <m:t>i</m:t>
                                    </m:r>
                                  </m:sub>
                                </m:sSub>
                                <m:r>
                                  <w:rPr>
                                    <w:rFonts w:ascii="Cambria Math" w:hAnsi="Cambria Math" w:cstheme="minorBidi"/>
                                    <w:color w:val="000000" w:themeColor="text1"/>
                                    <w:kern w:val="24"/>
                                    <w:sz w:val="22"/>
                                    <w:szCs w:val="22"/>
                                    <w:lang w:val="es-AR"/>
                                  </w:rPr>
                                  <m:t>=</m:t>
                                </m:r>
                                <m:f>
                                  <m:fPr>
                                    <m:ctrlPr>
                                      <w:rPr>
                                        <w:rFonts w:ascii="Cambria Math" w:hAnsi="Cambria Math" w:cstheme="minorBidi"/>
                                        <w:i/>
                                        <w:iCs/>
                                        <w:color w:val="000000" w:themeColor="text1"/>
                                        <w:kern w:val="24"/>
                                        <w:sz w:val="22"/>
                                        <w:szCs w:val="22"/>
                                        <w:lang w:val="es-AR"/>
                                      </w:rPr>
                                    </m:ctrlPr>
                                  </m:fPr>
                                  <m:num>
                                    <m:sSub>
                                      <m:sSubPr>
                                        <m:ctrlPr>
                                          <w:rPr>
                                            <w:rFonts w:ascii="Cambria Math" w:hAnsi="Cambria Math" w:cstheme="minorBidi"/>
                                            <w:i/>
                                            <w:iCs/>
                                            <w:color w:val="000000" w:themeColor="text1"/>
                                            <w:kern w:val="24"/>
                                            <w:sz w:val="22"/>
                                            <w:szCs w:val="22"/>
                                            <w:lang w:val="es-AR"/>
                                          </w:rPr>
                                        </m:ctrlPr>
                                      </m:sSubPr>
                                      <m:e>
                                        <m:r>
                                          <w:rPr>
                                            <w:rFonts w:ascii="Cambria Math" w:hAnsi="Cambria Math" w:cstheme="minorBidi"/>
                                            <w:color w:val="000000" w:themeColor="text1"/>
                                            <w:kern w:val="24"/>
                                            <w:sz w:val="22"/>
                                            <w:szCs w:val="22"/>
                                            <w:lang w:val="es-AR"/>
                                          </w:rPr>
                                          <m:t>Base </m:t>
                                        </m:r>
                                      </m:e>
                                      <m:sub>
                                        <m:r>
                                          <w:rPr>
                                            <w:rFonts w:ascii="Cambria Math" w:hAnsi="Cambria Math" w:cstheme="minorBidi"/>
                                            <w:color w:val="000000" w:themeColor="text1"/>
                                            <w:kern w:val="24"/>
                                            <w:sz w:val="22"/>
                                            <w:szCs w:val="22"/>
                                            <w:lang w:val="es-AR"/>
                                          </w:rPr>
                                          <m:t>promedio</m:t>
                                        </m:r>
                                      </m:sub>
                                    </m:sSub>
                                    <m:r>
                                      <w:rPr>
                                        <w:rFonts w:ascii="Cambria Math" w:hAnsi="Cambria Math" w:cstheme="minorBidi"/>
                                        <w:color w:val="000000" w:themeColor="text1"/>
                                        <w:kern w:val="24"/>
                                        <w:sz w:val="22"/>
                                        <w:szCs w:val="22"/>
                                        <w:lang w:val="es-AR"/>
                                      </w:rPr>
                                      <m:t>*</m:t>
                                    </m:r>
                                    <m:sSub>
                                      <m:sSubPr>
                                        <m:ctrlPr>
                                          <w:rPr>
                                            <w:rFonts w:ascii="Cambria Math" w:hAnsi="Cambria Math" w:cstheme="minorBidi"/>
                                            <w:i/>
                                            <w:iCs/>
                                            <w:color w:val="000000" w:themeColor="text1"/>
                                            <w:kern w:val="24"/>
                                            <w:sz w:val="22"/>
                                            <w:szCs w:val="22"/>
                                            <w:lang w:val="es-AR"/>
                                          </w:rPr>
                                        </m:ctrlPr>
                                      </m:sSubPr>
                                      <m:e>
                                        <m:r>
                                          <w:rPr>
                                            <w:rFonts w:ascii="Cambria Math" w:hAnsi="Cambria Math" w:cstheme="minorBidi"/>
                                            <w:color w:val="000000" w:themeColor="text1"/>
                                            <w:kern w:val="24"/>
                                            <w:sz w:val="22"/>
                                            <w:szCs w:val="22"/>
                                            <w:lang w:val="es-AR"/>
                                          </w:rPr>
                                          <m:t>t</m:t>
                                        </m:r>
                                      </m:e>
                                      <m:sub>
                                        <m:r>
                                          <w:rPr>
                                            <w:rFonts w:ascii="Cambria Math" w:hAnsi="Cambria Math" w:cstheme="minorBidi"/>
                                            <w:color w:val="000000" w:themeColor="text1"/>
                                            <w:kern w:val="24"/>
                                            <w:sz w:val="22"/>
                                            <w:szCs w:val="22"/>
                                            <w:lang w:val="es-AR"/>
                                          </w:rPr>
                                          <m:t>i</m:t>
                                        </m:r>
                                      </m:sub>
                                    </m:sSub>
                                  </m:num>
                                  <m:den>
                                    <m:sSub>
                                      <m:sSubPr>
                                        <m:ctrlPr>
                                          <w:rPr>
                                            <w:rFonts w:ascii="Cambria Math" w:hAnsi="Cambria Math" w:cstheme="minorBidi"/>
                                            <w:i/>
                                            <w:iCs/>
                                            <w:color w:val="000000" w:themeColor="text1"/>
                                            <w:kern w:val="24"/>
                                            <w:sz w:val="22"/>
                                            <w:szCs w:val="22"/>
                                            <w:lang w:val="es-AR"/>
                                          </w:rPr>
                                        </m:ctrlPr>
                                      </m:sSubPr>
                                      <m:e>
                                        <m:r>
                                          <w:rPr>
                                            <w:rFonts w:ascii="Cambria Math" w:hAnsi="Cambria Math" w:cstheme="minorBidi"/>
                                            <w:color w:val="000000" w:themeColor="text1"/>
                                            <w:kern w:val="24"/>
                                            <w:sz w:val="22"/>
                                            <w:szCs w:val="22"/>
                                            <w:lang w:val="es-AR"/>
                                          </w:rPr>
                                          <m:t>Base </m:t>
                                        </m:r>
                                      </m:e>
                                      <m:sub>
                                        <m:r>
                                          <w:rPr>
                                            <w:rFonts w:ascii="Cambria Math" w:hAnsi="Cambria Math" w:cstheme="minorBidi"/>
                                            <w:color w:val="000000" w:themeColor="text1"/>
                                            <w:kern w:val="24"/>
                                            <w:sz w:val="22"/>
                                            <w:szCs w:val="22"/>
                                            <w:lang w:val="es-AR"/>
                                          </w:rPr>
                                          <m:t>promedio</m:t>
                                        </m:r>
                                      </m:sub>
                                    </m:sSub>
                                    <m:r>
                                      <w:rPr>
                                        <w:rFonts w:ascii="Cambria Math" w:hAnsi="Cambria Math" w:cstheme="minorBidi"/>
                                        <w:color w:val="000000" w:themeColor="text1"/>
                                        <w:kern w:val="24"/>
                                        <w:sz w:val="22"/>
                                        <w:szCs w:val="22"/>
                                        <w:lang w:val="es-AR"/>
                                      </w:rPr>
                                      <m:t>*</m:t>
                                    </m:r>
                                    <m:sSub>
                                      <m:sSubPr>
                                        <m:ctrlPr>
                                          <w:rPr>
                                            <w:rFonts w:ascii="Cambria Math" w:hAnsi="Cambria Math" w:cstheme="minorBidi"/>
                                            <w:i/>
                                            <w:iCs/>
                                            <w:color w:val="000000" w:themeColor="text1"/>
                                            <w:kern w:val="24"/>
                                            <w:sz w:val="22"/>
                                            <w:szCs w:val="22"/>
                                            <w:lang w:val="es-AR"/>
                                          </w:rPr>
                                        </m:ctrlPr>
                                      </m:sSubPr>
                                      <m:e>
                                        <m:r>
                                          <w:rPr>
                                            <w:rFonts w:ascii="Cambria Math" w:hAnsi="Cambria Math" w:cstheme="minorBidi"/>
                                            <w:color w:val="000000" w:themeColor="text1"/>
                                            <w:kern w:val="24"/>
                                            <w:sz w:val="22"/>
                                            <w:szCs w:val="22"/>
                                            <w:lang w:val="es-AR"/>
                                          </w:rPr>
                                          <m:t>t</m:t>
                                        </m:r>
                                      </m:e>
                                      <m:sub>
                                        <m:r>
                                          <w:rPr>
                                            <w:rFonts w:ascii="Cambria Math" w:hAnsi="Cambria Math" w:cstheme="minorBidi"/>
                                            <w:color w:val="000000" w:themeColor="text1"/>
                                            <w:kern w:val="24"/>
                                            <w:sz w:val="22"/>
                                            <w:szCs w:val="22"/>
                                            <w:lang w:val="es-AR"/>
                                          </w:rPr>
                                          <m:t>promedio</m:t>
                                        </m:r>
                                      </m:sub>
                                    </m:sSub>
                                  </m:den>
                                </m:f>
                              </m:oMath>
                            </m:oMathPara>
                          </w:p>
                        </w:txbxContent>
                      </wps:txbx>
                      <wps:bodyPr wrap="none" lIns="0" tIns="0" rIns="0" bIns="0" rtlCol="0" anchor="t">
                        <a:spAutoFit/>
                      </wps:bodyPr>
                    </wps:wsp>
                  </a:graphicData>
                </a:graphic>
              </wp:anchor>
            </w:drawing>
          </mc:Choice>
          <mc:Fallback>
            <w:pict>
              <v:shape w14:anchorId="7317AF95" id="_x0000_s1030" type="#_x0000_t202" style="position:absolute;left:0;text-align:left;margin-left:0;margin-top:.85pt;width:182.3pt;height:34.3pt;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BX/AAIAAFMEAAAOAAAAZHJzL2Uyb0RvYy54bWysVNuO0zAQfUfiHyy/06Q3BFXTFXS1CAkB&#10;YpcPcBy7iWR7rLHbpH/P2GlaBE+72hd3Mp4Znzlnptu7wRp2Uhg6cBWfz0rOlJPQdO5Q8d9PD+8+&#10;cBaicI0w4FTFzyrwu93bN9veb9QCWjCNQkZFXNj0vuJtjH5TFEG2yoowA68cXWpAKyJ94qFoUPRU&#10;3ZpiUZbvix6w8QhShUDe+/GS73J9rZWMP7QOKjJTccIW84n5rNNZ7LZic0Dh205eYIgXoLCic/To&#10;tdS9iIIdsfuvlO0kQgAdZxJsAVp3UuUeqJt5+U83j63wKvdC5AR/pSm8Xln5/fQTWdeQdivOnLCk&#10;0f4oGoQnNURg82WiqPdhQ5GPnmLj8BkGCp/8gZyp80GjTb/UE6N7Ivt8JZhKMUnOxXK+Xqw+cibp&#10;brVcr8tVKlPcsj2G+EWBZcmoOJKAmVdx+hbiGDqFpMccPHTGJH+COELJVjwblQKM+6U09ZcRJUeQ&#10;eKj3Btk4BDSlhHQaBQKSE1KgpsLPzL2kpGyVZ++Z+dek/D64eM23nQPMROTNUKmBk6CZjkMWgoDr&#10;MX6iYiQgcRGHesgKZ66Tp4bmTEr2NPYVd7SXnJmvjqYqbchk4GTUk4HR7GHcI+FkC8TgKE7wn46R&#10;lMgC3R64QKHJzRJftiytxt/fOer2X7D7AwAA//8DAFBLAwQUAAYACAAAACEA0VkgW9kAAAAFAQAA&#10;DwAAAGRycy9kb3ducmV2LnhtbEyPwU7DMAyG70i8Q2Sk3VgKQ91Umk5oEpfdGGjSblnjNRWJUyVZ&#10;17495gRH+//1+XO9nbwTI8bUB1LwtCxAILXB9NQp+Pp8f9yASFmT0S4QKpgxwba5v6t1ZcKNPnA8&#10;5E4whFKlFdich0rK1Fr0Oi3DgMTZJUSvM4+xkybqG8O9k89FUUqve+ILVg+4s9h+H65ewXo6BhwS&#10;7vB0Gdto+3nj9rNSi4fp7RVExin/leFXn9WhYadzuJJJwingRzJv1yA4XJUvJYgzk4sVyKaW/+2b&#10;HwAAAP//AwBQSwECLQAUAAYACAAAACEAtoM4kv4AAADhAQAAEwAAAAAAAAAAAAAAAAAAAAAAW0Nv&#10;bnRlbnRfVHlwZXNdLnhtbFBLAQItABQABgAIAAAAIQA4/SH/1gAAAJQBAAALAAAAAAAAAAAAAAAA&#10;AC8BAABfcmVscy8ucmVsc1BLAQItABQABgAIAAAAIQCcUBX/AAIAAFMEAAAOAAAAAAAAAAAAAAAA&#10;AC4CAABkcnMvZTJvRG9jLnhtbFBLAQItABQABgAIAAAAIQDRWSBb2QAAAAUBAAAPAAAAAAAAAAAA&#10;AAAAAFoEAABkcnMvZG93bnJldi54bWxQSwUGAAAAAAQABADzAAAAYAUAAAAA&#10;" filled="f" stroked="f">
                <v:textbox style="mso-fit-shape-to-text:t" inset="0,0,0,0">
                  <w:txbxContent>
                    <w:p w14:paraId="13AD76EB" w14:textId="6D0131B8" w:rsidR="00EE621F" w:rsidRPr="001D07FD" w:rsidRDefault="00EE621F" w:rsidP="001D07FD">
                      <w:pPr>
                        <w:pStyle w:val="NormalWeb"/>
                        <w:spacing w:before="0" w:beforeAutospacing="0" w:after="0" w:afterAutospacing="0"/>
                        <w:rPr>
                          <w:sz w:val="22"/>
                          <w:szCs w:val="22"/>
                        </w:rPr>
                      </w:pPr>
                      <m:oMathPara>
                        <m:oMathParaPr>
                          <m:jc m:val="centerGroup"/>
                        </m:oMathParaPr>
                        <m:oMath>
                          <m:sSub>
                            <m:sSubPr>
                              <m:ctrlPr>
                                <w:rPr>
                                  <w:rFonts w:ascii="Cambria Math" w:hAnsi="Cambria Math" w:cstheme="minorBidi"/>
                                  <w:i/>
                                  <w:iCs/>
                                  <w:color w:val="000000" w:themeColor="text1"/>
                                  <w:kern w:val="24"/>
                                  <w:sz w:val="22"/>
                                  <w:szCs w:val="22"/>
                                  <w:lang w:val="es-AR"/>
                                </w:rPr>
                              </m:ctrlPr>
                            </m:sSubPr>
                            <m:e>
                              <m:r>
                                <w:rPr>
                                  <w:rFonts w:ascii="Cambria Math" w:hAnsi="Cambria Math" w:cstheme="minorBidi"/>
                                  <w:color w:val="000000" w:themeColor="text1"/>
                                  <w:kern w:val="24"/>
                                  <w:sz w:val="22"/>
                                  <w:szCs w:val="22"/>
                                  <w:lang w:val="es-AR"/>
                                </w:rPr>
                                <m:t>EF1</m:t>
                              </m:r>
                            </m:e>
                            <m:sub>
                              <m:r>
                                <w:rPr>
                                  <w:rFonts w:ascii="Cambria Math" w:hAnsi="Cambria Math" w:cstheme="minorBidi"/>
                                  <w:color w:val="000000" w:themeColor="text1"/>
                                  <w:kern w:val="24"/>
                                  <w:sz w:val="22"/>
                                  <w:szCs w:val="22"/>
                                  <w:lang w:val="es-AR"/>
                                </w:rPr>
                                <m:t>i</m:t>
                              </m:r>
                            </m:sub>
                          </m:sSub>
                          <m:r>
                            <w:rPr>
                              <w:rFonts w:ascii="Cambria Math" w:hAnsi="Cambria Math" w:cstheme="minorBidi"/>
                              <w:color w:val="000000" w:themeColor="text1"/>
                              <w:kern w:val="24"/>
                              <w:sz w:val="22"/>
                              <w:szCs w:val="22"/>
                              <w:lang w:val="es-AR"/>
                            </w:rPr>
                            <m:t>=</m:t>
                          </m:r>
                          <m:f>
                            <m:fPr>
                              <m:ctrlPr>
                                <w:rPr>
                                  <w:rFonts w:ascii="Cambria Math" w:hAnsi="Cambria Math" w:cstheme="minorBidi"/>
                                  <w:i/>
                                  <w:iCs/>
                                  <w:color w:val="000000" w:themeColor="text1"/>
                                  <w:kern w:val="24"/>
                                  <w:sz w:val="22"/>
                                  <w:szCs w:val="22"/>
                                  <w:lang w:val="es-AR"/>
                                </w:rPr>
                              </m:ctrlPr>
                            </m:fPr>
                            <m:num>
                              <m:sSub>
                                <m:sSubPr>
                                  <m:ctrlPr>
                                    <w:rPr>
                                      <w:rFonts w:ascii="Cambria Math" w:hAnsi="Cambria Math" w:cstheme="minorBidi"/>
                                      <w:i/>
                                      <w:iCs/>
                                      <w:color w:val="000000" w:themeColor="text1"/>
                                      <w:kern w:val="24"/>
                                      <w:sz w:val="22"/>
                                      <w:szCs w:val="22"/>
                                      <w:lang w:val="es-AR"/>
                                    </w:rPr>
                                  </m:ctrlPr>
                                </m:sSubPr>
                                <m:e>
                                  <m:r>
                                    <w:rPr>
                                      <w:rFonts w:ascii="Cambria Math" w:hAnsi="Cambria Math" w:cstheme="minorBidi"/>
                                      <w:color w:val="000000" w:themeColor="text1"/>
                                      <w:kern w:val="24"/>
                                      <w:sz w:val="22"/>
                                      <w:szCs w:val="22"/>
                                      <w:lang w:val="es-AR"/>
                                    </w:rPr>
                                    <m:t>Base </m:t>
                                  </m:r>
                                </m:e>
                                <m:sub>
                                  <m:r>
                                    <w:rPr>
                                      <w:rFonts w:ascii="Cambria Math" w:hAnsi="Cambria Math" w:cstheme="minorBidi"/>
                                      <w:color w:val="000000" w:themeColor="text1"/>
                                      <w:kern w:val="24"/>
                                      <w:sz w:val="22"/>
                                      <w:szCs w:val="22"/>
                                      <w:lang w:val="es-AR"/>
                                    </w:rPr>
                                    <m:t>promedio</m:t>
                                  </m:r>
                                </m:sub>
                              </m:sSub>
                              <m:r>
                                <w:rPr>
                                  <w:rFonts w:ascii="Cambria Math" w:hAnsi="Cambria Math" w:cstheme="minorBidi"/>
                                  <w:color w:val="000000" w:themeColor="text1"/>
                                  <w:kern w:val="24"/>
                                  <w:sz w:val="22"/>
                                  <w:szCs w:val="22"/>
                                  <w:lang w:val="es-AR"/>
                                </w:rPr>
                                <m:t>*</m:t>
                              </m:r>
                              <m:sSub>
                                <m:sSubPr>
                                  <m:ctrlPr>
                                    <w:rPr>
                                      <w:rFonts w:ascii="Cambria Math" w:hAnsi="Cambria Math" w:cstheme="minorBidi"/>
                                      <w:i/>
                                      <w:iCs/>
                                      <w:color w:val="000000" w:themeColor="text1"/>
                                      <w:kern w:val="24"/>
                                      <w:sz w:val="22"/>
                                      <w:szCs w:val="22"/>
                                      <w:lang w:val="es-AR"/>
                                    </w:rPr>
                                  </m:ctrlPr>
                                </m:sSubPr>
                                <m:e>
                                  <m:r>
                                    <w:rPr>
                                      <w:rFonts w:ascii="Cambria Math" w:hAnsi="Cambria Math" w:cstheme="minorBidi"/>
                                      <w:color w:val="000000" w:themeColor="text1"/>
                                      <w:kern w:val="24"/>
                                      <w:sz w:val="22"/>
                                      <w:szCs w:val="22"/>
                                      <w:lang w:val="es-AR"/>
                                    </w:rPr>
                                    <m:t>t</m:t>
                                  </m:r>
                                </m:e>
                                <m:sub>
                                  <m:r>
                                    <w:rPr>
                                      <w:rFonts w:ascii="Cambria Math" w:hAnsi="Cambria Math" w:cstheme="minorBidi"/>
                                      <w:color w:val="000000" w:themeColor="text1"/>
                                      <w:kern w:val="24"/>
                                      <w:sz w:val="22"/>
                                      <w:szCs w:val="22"/>
                                      <w:lang w:val="es-AR"/>
                                    </w:rPr>
                                    <m:t>i</m:t>
                                  </m:r>
                                </m:sub>
                              </m:sSub>
                            </m:num>
                            <m:den>
                              <m:sSub>
                                <m:sSubPr>
                                  <m:ctrlPr>
                                    <w:rPr>
                                      <w:rFonts w:ascii="Cambria Math" w:hAnsi="Cambria Math" w:cstheme="minorBidi"/>
                                      <w:i/>
                                      <w:iCs/>
                                      <w:color w:val="000000" w:themeColor="text1"/>
                                      <w:kern w:val="24"/>
                                      <w:sz w:val="22"/>
                                      <w:szCs w:val="22"/>
                                      <w:lang w:val="es-AR"/>
                                    </w:rPr>
                                  </m:ctrlPr>
                                </m:sSubPr>
                                <m:e>
                                  <m:r>
                                    <w:rPr>
                                      <w:rFonts w:ascii="Cambria Math" w:hAnsi="Cambria Math" w:cstheme="minorBidi"/>
                                      <w:color w:val="000000" w:themeColor="text1"/>
                                      <w:kern w:val="24"/>
                                      <w:sz w:val="22"/>
                                      <w:szCs w:val="22"/>
                                      <w:lang w:val="es-AR"/>
                                    </w:rPr>
                                    <m:t>Base </m:t>
                                  </m:r>
                                </m:e>
                                <m:sub>
                                  <m:r>
                                    <w:rPr>
                                      <w:rFonts w:ascii="Cambria Math" w:hAnsi="Cambria Math" w:cstheme="minorBidi"/>
                                      <w:color w:val="000000" w:themeColor="text1"/>
                                      <w:kern w:val="24"/>
                                      <w:sz w:val="22"/>
                                      <w:szCs w:val="22"/>
                                      <w:lang w:val="es-AR"/>
                                    </w:rPr>
                                    <m:t>promedio</m:t>
                                  </m:r>
                                </m:sub>
                              </m:sSub>
                              <m:r>
                                <w:rPr>
                                  <w:rFonts w:ascii="Cambria Math" w:hAnsi="Cambria Math" w:cstheme="minorBidi"/>
                                  <w:color w:val="000000" w:themeColor="text1"/>
                                  <w:kern w:val="24"/>
                                  <w:sz w:val="22"/>
                                  <w:szCs w:val="22"/>
                                  <w:lang w:val="es-AR"/>
                                </w:rPr>
                                <m:t>*</m:t>
                              </m:r>
                              <m:sSub>
                                <m:sSubPr>
                                  <m:ctrlPr>
                                    <w:rPr>
                                      <w:rFonts w:ascii="Cambria Math" w:hAnsi="Cambria Math" w:cstheme="minorBidi"/>
                                      <w:i/>
                                      <w:iCs/>
                                      <w:color w:val="000000" w:themeColor="text1"/>
                                      <w:kern w:val="24"/>
                                      <w:sz w:val="22"/>
                                      <w:szCs w:val="22"/>
                                      <w:lang w:val="es-AR"/>
                                    </w:rPr>
                                  </m:ctrlPr>
                                </m:sSubPr>
                                <m:e>
                                  <m:r>
                                    <w:rPr>
                                      <w:rFonts w:ascii="Cambria Math" w:hAnsi="Cambria Math" w:cstheme="minorBidi"/>
                                      <w:color w:val="000000" w:themeColor="text1"/>
                                      <w:kern w:val="24"/>
                                      <w:sz w:val="22"/>
                                      <w:szCs w:val="22"/>
                                      <w:lang w:val="es-AR"/>
                                    </w:rPr>
                                    <m:t>t</m:t>
                                  </m:r>
                                </m:e>
                                <m:sub>
                                  <m:r>
                                    <w:rPr>
                                      <w:rFonts w:ascii="Cambria Math" w:hAnsi="Cambria Math" w:cstheme="minorBidi"/>
                                      <w:color w:val="000000" w:themeColor="text1"/>
                                      <w:kern w:val="24"/>
                                      <w:sz w:val="22"/>
                                      <w:szCs w:val="22"/>
                                      <w:lang w:val="es-AR"/>
                                    </w:rPr>
                                    <m:t>promedio</m:t>
                                  </m:r>
                                </m:sub>
                              </m:sSub>
                            </m:den>
                          </m:f>
                        </m:oMath>
                      </m:oMathPara>
                    </w:p>
                  </w:txbxContent>
                </v:textbox>
                <w10:wrap anchorx="margin"/>
              </v:shape>
            </w:pict>
          </mc:Fallback>
        </mc:AlternateContent>
      </w:r>
    </w:p>
    <w:p w14:paraId="789F250B" w14:textId="77777777" w:rsidR="000B60EA" w:rsidRPr="004E10B7" w:rsidRDefault="000B60EA" w:rsidP="008B5D7F">
      <w:pPr>
        <w:spacing w:line="240" w:lineRule="auto"/>
        <w:rPr>
          <w:rFonts w:cstheme="minorHAnsi"/>
          <w:lang w:val="es-AR"/>
        </w:rPr>
      </w:pPr>
    </w:p>
    <w:p w14:paraId="4F0286A4" w14:textId="77777777" w:rsidR="004E0A6E" w:rsidRPr="004E10B7" w:rsidRDefault="004E0A6E" w:rsidP="008B5D7F">
      <w:pPr>
        <w:spacing w:line="240" w:lineRule="auto"/>
        <w:rPr>
          <w:rFonts w:cstheme="minorHAnsi"/>
          <w:lang w:val="es-AR"/>
        </w:rPr>
      </w:pPr>
      <w:r w:rsidRPr="004E10B7">
        <w:rPr>
          <w:rFonts w:cstheme="minorHAnsi"/>
          <w:lang w:val="es-AR"/>
        </w:rPr>
        <w:t>El esfuerzo fiscal se calcula</w:t>
      </w:r>
      <w:r w:rsidR="001A63AC" w:rsidRPr="004E10B7">
        <w:rPr>
          <w:rFonts w:cstheme="minorHAnsi"/>
          <w:lang w:val="es-AR"/>
        </w:rPr>
        <w:t xml:space="preserve"> como la tasa fiscal de </w:t>
      </w:r>
      <w:r w:rsidRPr="004E10B7">
        <w:rPr>
          <w:rFonts w:cstheme="minorHAnsi"/>
          <w:lang w:val="es-AR"/>
        </w:rPr>
        <w:t>la comunidad i aplicada</w:t>
      </w:r>
      <w:r w:rsidR="001A63AC" w:rsidRPr="004E10B7">
        <w:rPr>
          <w:rFonts w:cstheme="minorHAnsi"/>
          <w:lang w:val="es-AR"/>
        </w:rPr>
        <w:t xml:space="preserve"> a la base fiscal promedio para ver cuánto ingreso se hubiera recaudado en caso de que la base fiscal de esa comunidad fuera la promedio. El resultado se estandariza con el ingreso</w:t>
      </w:r>
      <w:r w:rsidRPr="004E10B7">
        <w:rPr>
          <w:rFonts w:cstheme="minorHAnsi"/>
          <w:lang w:val="es-AR"/>
        </w:rPr>
        <w:t xml:space="preserve"> recaudatorio promedio de las comunidades.</w:t>
      </w:r>
    </w:p>
    <w:p w14:paraId="06A0C80D" w14:textId="5C0BD984" w:rsidR="001A63AC" w:rsidRPr="004E10B7" w:rsidRDefault="001A63AC" w:rsidP="008B5D7F">
      <w:pPr>
        <w:spacing w:line="240" w:lineRule="auto"/>
        <w:rPr>
          <w:rFonts w:cstheme="minorHAnsi"/>
          <w:lang w:val="es-AR"/>
        </w:rPr>
      </w:pPr>
      <w:r w:rsidRPr="004E10B7">
        <w:rPr>
          <w:rFonts w:cstheme="minorHAnsi"/>
          <w:lang w:val="es-AR"/>
        </w:rPr>
        <w:t xml:space="preserve">Nuevamente se considera a la base tributaria como el PBG de cada comunidad, y </w:t>
      </w:r>
      <w:r w:rsidR="004E0A6E" w:rsidRPr="004E10B7">
        <w:rPr>
          <w:rFonts w:cstheme="minorHAnsi"/>
          <w:lang w:val="es-AR"/>
        </w:rPr>
        <w:t xml:space="preserve">el impuesto relacionado con el EF el tributo a los ingresos brutos. Para calcular la tasa impositiva se </w:t>
      </w:r>
      <w:r w:rsidR="004E0A6E" w:rsidRPr="004E10B7">
        <w:rPr>
          <w:rFonts w:cstheme="minorHAnsi"/>
          <w:lang w:val="es-AR"/>
        </w:rPr>
        <w:lastRenderedPageBreak/>
        <w:t>calcula, como se mencionó para el caso del IREF1, la tasa impositiva implícita dada por la recaudación de ingresos brutos provincial y el PBG provincial, considerando a este como la base impositiva del impuesto.</w:t>
      </w:r>
    </w:p>
    <w:p w14:paraId="61DD43DF" w14:textId="10267ED1" w:rsidR="00F94A63" w:rsidRPr="004E10B7" w:rsidRDefault="00F94A63" w:rsidP="008B5D7F">
      <w:pPr>
        <w:spacing w:line="240" w:lineRule="auto"/>
        <w:rPr>
          <w:rFonts w:cstheme="minorHAnsi"/>
          <w:lang w:val="es-AR"/>
        </w:rPr>
      </w:pPr>
      <w:r w:rsidRPr="004E10B7">
        <w:rPr>
          <w:rFonts w:cstheme="minorHAnsi"/>
          <w:lang w:val="es-AR"/>
        </w:rPr>
        <w:t>En definitiva, a efecto de los cálculos de EF y CF para las provincias argentinas, se obtiene que las aproximaciones se calculan de la siguiente manera:</w:t>
      </w:r>
    </w:p>
    <w:p w14:paraId="06449576" w14:textId="1C5BAF3D" w:rsidR="00F94A63" w:rsidRPr="004E10B7" w:rsidRDefault="00EE621F" w:rsidP="008B5D7F">
      <w:pPr>
        <w:spacing w:line="240" w:lineRule="auto"/>
        <w:rPr>
          <w:rFonts w:cstheme="minorHAnsi"/>
          <w:lang w:val="es-AR"/>
        </w:rPr>
      </w:pPr>
      <m:oMathPara>
        <m:oMath>
          <m:sSub>
            <m:sSubPr>
              <m:ctrlPr>
                <w:rPr>
                  <w:rFonts w:ascii="Cambria Math" w:hAnsi="Cambria Math" w:cstheme="minorHAnsi"/>
                  <w:i/>
                  <w:lang w:val="es-AR"/>
                </w:rPr>
              </m:ctrlPr>
            </m:sSubPr>
            <m:e>
              <m:r>
                <w:rPr>
                  <w:rFonts w:ascii="Cambria Math" w:hAnsi="Cambria Math" w:cstheme="minorHAnsi"/>
                  <w:lang w:val="es-AR"/>
                </w:rPr>
                <m:t>IREF1</m:t>
              </m:r>
            </m:e>
            <m:sub>
              <m:r>
                <w:rPr>
                  <w:rFonts w:ascii="Cambria Math" w:hAnsi="Cambria Math" w:cstheme="minorHAnsi"/>
                  <w:lang w:val="es-AR"/>
                </w:rPr>
                <m:t>i</m:t>
              </m:r>
            </m:sub>
          </m:sSub>
          <m:r>
            <w:rPr>
              <w:rFonts w:ascii="Cambria Math" w:hAnsi="Cambria Math" w:cstheme="minorHAnsi"/>
              <w:lang w:val="es-AR"/>
            </w:rPr>
            <m:t>=</m:t>
          </m:r>
          <m:f>
            <m:fPr>
              <m:ctrlPr>
                <w:rPr>
                  <w:rFonts w:ascii="Cambria Math" w:hAnsi="Cambria Math" w:cstheme="minorHAnsi"/>
                  <w:i/>
                  <w:lang w:val="es-AR"/>
                </w:rPr>
              </m:ctrlPr>
            </m:fPr>
            <m:num>
              <m:f>
                <m:fPr>
                  <m:type m:val="skw"/>
                  <m:ctrlPr>
                    <w:rPr>
                      <w:rFonts w:ascii="Cambria Math" w:hAnsi="Cambria Math" w:cstheme="minorHAnsi"/>
                      <w:i/>
                      <w:lang w:val="es-AR"/>
                    </w:rPr>
                  </m:ctrlPr>
                </m:fPr>
                <m:num>
                  <m:sSub>
                    <m:sSubPr>
                      <m:ctrlPr>
                        <w:rPr>
                          <w:rFonts w:ascii="Cambria Math" w:hAnsi="Cambria Math" w:cstheme="minorHAnsi"/>
                          <w:i/>
                          <w:lang w:val="es-AR"/>
                        </w:rPr>
                      </m:ctrlPr>
                    </m:sSubPr>
                    <m:e>
                      <m:r>
                        <w:rPr>
                          <w:rFonts w:ascii="Cambria Math" w:hAnsi="Cambria Math" w:cstheme="minorHAnsi"/>
                          <w:lang w:val="es-AR"/>
                        </w:rPr>
                        <m:t>ing_brutos</m:t>
                      </m:r>
                    </m:e>
                    <m:sub>
                      <m:r>
                        <w:rPr>
                          <w:rFonts w:ascii="Cambria Math" w:hAnsi="Cambria Math" w:cstheme="minorHAnsi"/>
                          <w:lang w:val="es-AR"/>
                        </w:rPr>
                        <m:t>i</m:t>
                      </m:r>
                    </m:sub>
                  </m:sSub>
                </m:num>
                <m:den>
                  <m:nary>
                    <m:naryPr>
                      <m:chr m:val="∑"/>
                      <m:limLoc m:val="undOvr"/>
                      <m:ctrlPr>
                        <w:rPr>
                          <w:rFonts w:ascii="Cambria Math" w:hAnsi="Cambria Math" w:cstheme="minorHAnsi"/>
                          <w:i/>
                          <w:lang w:val="es-AR"/>
                        </w:rPr>
                      </m:ctrlPr>
                    </m:naryPr>
                    <m:sub>
                      <m:r>
                        <w:rPr>
                          <w:rFonts w:ascii="Cambria Math" w:hAnsi="Cambria Math" w:cstheme="minorHAnsi"/>
                          <w:lang w:val="es-AR"/>
                        </w:rPr>
                        <m:t>i=1</m:t>
                      </m:r>
                    </m:sub>
                    <m:sup>
                      <m:r>
                        <w:rPr>
                          <w:rFonts w:ascii="Cambria Math" w:hAnsi="Cambria Math" w:cstheme="minorHAnsi"/>
                          <w:lang w:val="es-AR"/>
                        </w:rPr>
                        <m:t>24</m:t>
                      </m:r>
                    </m:sup>
                    <m:e>
                      <m:sSub>
                        <m:sSubPr>
                          <m:ctrlPr>
                            <w:rPr>
                              <w:rFonts w:ascii="Cambria Math" w:hAnsi="Cambria Math" w:cstheme="minorHAnsi"/>
                              <w:i/>
                              <w:lang w:val="es-AR"/>
                            </w:rPr>
                          </m:ctrlPr>
                        </m:sSubPr>
                        <m:e>
                          <m:r>
                            <w:rPr>
                              <w:rFonts w:ascii="Cambria Math" w:hAnsi="Cambria Math" w:cstheme="minorHAnsi"/>
                              <w:lang w:val="es-AR"/>
                            </w:rPr>
                            <m:t>ing_brutos</m:t>
                          </m:r>
                        </m:e>
                        <m:sub>
                          <m:r>
                            <w:rPr>
                              <w:rFonts w:ascii="Cambria Math" w:hAnsi="Cambria Math" w:cstheme="minorHAnsi"/>
                              <w:lang w:val="es-AR"/>
                            </w:rPr>
                            <m:t>i</m:t>
                          </m:r>
                        </m:sub>
                      </m:sSub>
                    </m:e>
                  </m:nary>
                </m:den>
              </m:f>
            </m:num>
            <m:den>
              <m:f>
                <m:fPr>
                  <m:type m:val="skw"/>
                  <m:ctrlPr>
                    <w:rPr>
                      <w:rFonts w:ascii="Cambria Math" w:hAnsi="Cambria Math" w:cstheme="minorHAnsi"/>
                      <w:i/>
                      <w:lang w:val="es-AR"/>
                    </w:rPr>
                  </m:ctrlPr>
                </m:fPr>
                <m:num>
                  <m:sSub>
                    <m:sSubPr>
                      <m:ctrlPr>
                        <w:rPr>
                          <w:rFonts w:ascii="Cambria Math" w:hAnsi="Cambria Math" w:cstheme="minorHAnsi"/>
                          <w:i/>
                          <w:lang w:val="es-AR"/>
                        </w:rPr>
                      </m:ctrlPr>
                    </m:sSubPr>
                    <m:e>
                      <m:r>
                        <w:rPr>
                          <w:rFonts w:ascii="Cambria Math" w:hAnsi="Cambria Math" w:cstheme="minorHAnsi"/>
                          <w:lang w:val="es-AR"/>
                        </w:rPr>
                        <m:t>PBG</m:t>
                      </m:r>
                    </m:e>
                    <m:sub>
                      <m:r>
                        <w:rPr>
                          <w:rFonts w:ascii="Cambria Math" w:hAnsi="Cambria Math" w:cstheme="minorHAnsi"/>
                          <w:lang w:val="es-AR"/>
                        </w:rPr>
                        <m:t>i</m:t>
                      </m:r>
                    </m:sub>
                  </m:sSub>
                </m:num>
                <m:den>
                  <m:nary>
                    <m:naryPr>
                      <m:chr m:val="∑"/>
                      <m:limLoc m:val="undOvr"/>
                      <m:ctrlPr>
                        <w:rPr>
                          <w:rFonts w:ascii="Cambria Math" w:hAnsi="Cambria Math" w:cstheme="minorHAnsi"/>
                          <w:i/>
                          <w:lang w:val="es-AR"/>
                        </w:rPr>
                      </m:ctrlPr>
                    </m:naryPr>
                    <m:sub>
                      <m:r>
                        <w:rPr>
                          <w:rFonts w:ascii="Cambria Math" w:hAnsi="Cambria Math" w:cstheme="minorHAnsi"/>
                          <w:lang w:val="es-AR"/>
                        </w:rPr>
                        <m:t>i=1</m:t>
                      </m:r>
                    </m:sub>
                    <m:sup>
                      <m:r>
                        <w:rPr>
                          <w:rFonts w:ascii="Cambria Math" w:hAnsi="Cambria Math" w:cstheme="minorHAnsi"/>
                          <w:lang w:val="es-AR"/>
                        </w:rPr>
                        <m:t>24</m:t>
                      </m:r>
                    </m:sup>
                    <m:e>
                      <m:sSub>
                        <m:sSubPr>
                          <m:ctrlPr>
                            <w:rPr>
                              <w:rFonts w:ascii="Cambria Math" w:hAnsi="Cambria Math" w:cstheme="minorHAnsi"/>
                              <w:i/>
                              <w:lang w:val="es-AR"/>
                            </w:rPr>
                          </m:ctrlPr>
                        </m:sSubPr>
                        <m:e>
                          <m:r>
                            <w:rPr>
                              <w:rFonts w:ascii="Cambria Math" w:hAnsi="Cambria Math" w:cstheme="minorHAnsi"/>
                              <w:lang w:val="es-AR"/>
                            </w:rPr>
                            <m:t>PBG</m:t>
                          </m:r>
                        </m:e>
                        <m:sub>
                          <m:r>
                            <w:rPr>
                              <w:rFonts w:ascii="Cambria Math" w:hAnsi="Cambria Math" w:cstheme="minorHAnsi"/>
                              <w:lang w:val="es-AR"/>
                            </w:rPr>
                            <m:t>i</m:t>
                          </m:r>
                        </m:sub>
                      </m:sSub>
                    </m:e>
                  </m:nary>
                </m:den>
              </m:f>
            </m:den>
          </m:f>
        </m:oMath>
      </m:oMathPara>
    </w:p>
    <w:p w14:paraId="2FDBC776" w14:textId="01341027" w:rsidR="00F94A63" w:rsidRPr="004E10B7" w:rsidRDefault="00F94A63" w:rsidP="008B5D7F">
      <w:pPr>
        <w:spacing w:line="240" w:lineRule="auto"/>
        <w:rPr>
          <w:rFonts w:cstheme="minorHAnsi"/>
          <w:lang w:val="es-AR"/>
        </w:rPr>
      </w:pPr>
      <w:r w:rsidRPr="004E10B7">
        <w:rPr>
          <w:rFonts w:cstheme="minorHAnsi"/>
          <w:lang w:val="es-AR"/>
        </w:rPr>
        <w:t>Donde</w:t>
      </w:r>
      <w:r w:rsidR="001B45C5" w:rsidRPr="004E10B7">
        <w:rPr>
          <w:rFonts w:cstheme="minorHAnsi"/>
          <w:lang w:val="es-AR"/>
        </w:rPr>
        <w:t>, en todos los casos,</w:t>
      </w:r>
      <w:r w:rsidRPr="004E10B7">
        <w:rPr>
          <w:rFonts w:cstheme="minorHAnsi"/>
          <w:lang w:val="es-AR"/>
        </w:rPr>
        <w:t xml:space="preserve"> i representa a las provincias argentinas.</w:t>
      </w:r>
      <w:r w:rsidR="001B45C5" w:rsidRPr="004E10B7">
        <w:rPr>
          <w:rFonts w:cstheme="minorHAnsi"/>
          <w:lang w:val="es-AR"/>
        </w:rPr>
        <w:t xml:space="preserve"> El concepto de CF asociado a esta aproximación al EF es:</w:t>
      </w:r>
    </w:p>
    <w:p w14:paraId="6C6551AC" w14:textId="031259D9" w:rsidR="001B45C5" w:rsidRPr="004E10B7" w:rsidRDefault="001B45C5" w:rsidP="008B5D7F">
      <w:pPr>
        <w:spacing w:line="240" w:lineRule="auto"/>
        <w:rPr>
          <w:rFonts w:cstheme="minorHAnsi"/>
          <w:lang w:val="es-AR"/>
        </w:rPr>
      </w:pPr>
      <w:r w:rsidRPr="004E10B7">
        <w:rPr>
          <w:rFonts w:cstheme="minorHAnsi"/>
          <w:noProof/>
          <w:lang w:val="es-AR" w:eastAsia="es-AR"/>
        </w:rPr>
        <mc:AlternateContent>
          <mc:Choice Requires="wps">
            <w:drawing>
              <wp:anchor distT="0" distB="0" distL="114300" distR="114300" simplePos="0" relativeHeight="251673600" behindDoc="0" locked="0" layoutInCell="1" allowOverlap="1" wp14:anchorId="43A99D54" wp14:editId="7C43ECF6">
                <wp:simplePos x="0" y="0"/>
                <wp:positionH relativeFrom="margin">
                  <wp:align>center</wp:align>
                </wp:positionH>
                <wp:positionV relativeFrom="paragraph">
                  <wp:posOffset>0</wp:posOffset>
                </wp:positionV>
                <wp:extent cx="2863215" cy="434975"/>
                <wp:effectExtent l="0" t="0" r="0" b="0"/>
                <wp:wrapNone/>
                <wp:docPr id="17" name="CuadroTexto 14"/>
                <wp:cNvGraphicFramePr/>
                <a:graphic xmlns:a="http://schemas.openxmlformats.org/drawingml/2006/main">
                  <a:graphicData uri="http://schemas.microsoft.com/office/word/2010/wordprocessingShape">
                    <wps:wsp>
                      <wps:cNvSpPr txBox="1"/>
                      <wps:spPr>
                        <a:xfrm>
                          <a:off x="0" y="0"/>
                          <a:ext cx="2863215" cy="43497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B69D24E" w14:textId="4E3FD0A4" w:rsidR="00EE621F" w:rsidRPr="00EB5209" w:rsidRDefault="00EE621F" w:rsidP="001B45C5">
                            <w:pPr>
                              <w:pStyle w:val="NormalWeb"/>
                              <w:spacing w:before="0" w:beforeAutospacing="0" w:after="0" w:afterAutospacing="0"/>
                              <w:jc w:val="center"/>
                              <w:rPr>
                                <w:rFonts w:asciiTheme="minorHAnsi" w:hAnsiTheme="minorHAnsi" w:cstheme="minorHAnsi"/>
                                <w:sz w:val="22"/>
                                <w:szCs w:val="22"/>
                              </w:rPr>
                            </w:pPr>
                            <m:oMathPara>
                              <m:oMathParaPr>
                                <m:jc m:val="centerGroup"/>
                              </m:oMathParaPr>
                              <m:oMath>
                                <m:sSub>
                                  <m:sSubPr>
                                    <m:ctrlPr>
                                      <w:rPr>
                                        <w:rFonts w:ascii="Cambria Math" w:hAnsi="Cambria Math" w:cstheme="minorHAnsi"/>
                                        <w:i/>
                                        <w:iCs/>
                                        <w:color w:val="000000" w:themeColor="text1"/>
                                        <w:kern w:val="24"/>
                                        <w:sz w:val="22"/>
                                        <w:szCs w:val="22"/>
                                        <w:lang w:val="es-AR"/>
                                      </w:rPr>
                                    </m:ctrlPr>
                                  </m:sSubPr>
                                  <m:e>
                                    <m:r>
                                      <w:rPr>
                                        <w:rFonts w:ascii="Cambria Math" w:hAnsi="Cambria Math" w:cstheme="minorHAnsi"/>
                                        <w:color w:val="000000" w:themeColor="text1"/>
                                        <w:kern w:val="24"/>
                                        <w:sz w:val="22"/>
                                        <w:szCs w:val="22"/>
                                        <w:lang w:val="es-AR"/>
                                      </w:rPr>
                                      <m:t>CF2</m:t>
                                    </m:r>
                                  </m:e>
                                  <m:sub>
                                    <m:r>
                                      <w:rPr>
                                        <w:rFonts w:ascii="Cambria Math" w:hAnsi="Cambria Math" w:cstheme="minorHAnsi"/>
                                        <w:color w:val="000000" w:themeColor="text1"/>
                                        <w:kern w:val="24"/>
                                        <w:sz w:val="22"/>
                                        <w:szCs w:val="22"/>
                                        <w:lang w:val="es-AR"/>
                                      </w:rPr>
                                      <m:t>i</m:t>
                                    </m:r>
                                  </m:sub>
                                </m:sSub>
                                <m:r>
                                  <w:rPr>
                                    <w:rFonts w:ascii="Cambria Math" w:hAnsi="Cambria Math" w:cstheme="minorHAnsi"/>
                                    <w:color w:val="000000" w:themeColor="text1"/>
                                    <w:kern w:val="24"/>
                                    <w:sz w:val="22"/>
                                    <w:szCs w:val="22"/>
                                    <w:lang w:val="es-AR"/>
                                  </w:rPr>
                                  <m:t>=</m:t>
                                </m:r>
                                <m:sSub>
                                  <m:sSubPr>
                                    <m:ctrlPr>
                                      <w:rPr>
                                        <w:rFonts w:ascii="Cambria Math" w:hAnsi="Cambria Math" w:cstheme="minorHAnsi"/>
                                        <w:i/>
                                        <w:iCs/>
                                        <w:color w:val="000000" w:themeColor="text1"/>
                                        <w:kern w:val="24"/>
                                        <w:sz w:val="22"/>
                                        <w:szCs w:val="22"/>
                                        <w:lang w:val="es-AR"/>
                                      </w:rPr>
                                    </m:ctrlPr>
                                  </m:sSubPr>
                                  <m:e>
                                    <m:r>
                                      <w:rPr>
                                        <w:rFonts w:ascii="Cambria Math" w:hAnsi="Cambria Math" w:cstheme="minorHAnsi"/>
                                        <w:color w:val="000000" w:themeColor="text1"/>
                                        <w:kern w:val="24"/>
                                        <w:sz w:val="22"/>
                                        <w:szCs w:val="22"/>
                                        <w:lang w:val="es-AR"/>
                                      </w:rPr>
                                      <m:t>PBG</m:t>
                                    </m:r>
                                  </m:e>
                                  <m:sub>
                                    <m:r>
                                      <w:rPr>
                                        <w:rFonts w:ascii="Cambria Math" w:hAnsi="Cambria Math" w:cstheme="minorHAnsi"/>
                                        <w:color w:val="000000" w:themeColor="text1"/>
                                        <w:kern w:val="24"/>
                                        <w:sz w:val="22"/>
                                        <w:szCs w:val="22"/>
                                        <w:lang w:val="es-AR"/>
                                      </w:rPr>
                                      <m:t>i</m:t>
                                    </m:r>
                                  </m:sub>
                                </m:sSub>
                              </m:oMath>
                            </m:oMathPara>
                          </w:p>
                        </w:txbxContent>
                      </wps:txbx>
                      <wps:bodyPr wrap="none" lIns="0" tIns="0" rIns="0" bIns="0" rtlCol="0" anchor="t">
                        <a:spAutoFit/>
                      </wps:bodyPr>
                    </wps:wsp>
                  </a:graphicData>
                </a:graphic>
              </wp:anchor>
            </w:drawing>
          </mc:Choice>
          <mc:Fallback>
            <w:pict>
              <v:shape w14:anchorId="43A99D54" id="_x0000_s1031" type="#_x0000_t202" style="position:absolute;left:0;text-align:left;margin-left:0;margin-top:0;width:225.45pt;height:34.25pt;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x6JAQIAAFMEAAAOAAAAZHJzL2Uyb0RvYy54bWysVNtu2zAMfR+wfxD0vjhJ01sQp9hSdBgw&#10;bMPafYAsS7EBSRQoJXb+fpQcO8P61GEvCk2R1OE5ZDYPvTXsqDC04Eq+mM05U05C3bp9yX+9PH24&#10;4yxE4WphwKmSn1TgD9v37zadX6slNGBqhYyKuLDufMmbGP26KIJslBVhBl45utSAVkT6xH1Ro+io&#10;ujXFcj6/KTrA2iNIFQJ5H4dLvs31tVYyftc6qMhMyQlbzCfms0pnsd2I9R6Fb1p5hiH+AYUVraNH&#10;p1KPIgp2wPZVKdtKhAA6ziTYArRupco9UDeL+V/dPDfCq9wLkRP8RFP4f2Xlt+MPZG1N2t1y5oQl&#10;jXYHUSO8qD4CW6wSRZ0Pa4p89hQb+0/QU/joD+RMnfcabfqlnhjdE9mniWAqxSQ5l3c3V8vFNWeS&#10;7lZXq/vb61SmuGR7DPGzAsuSUXIkATOv4vg1xCF0DEmPOXhqjUn+BHGAkq14MioFGPdTaeovI0qO&#10;IHFf7QyyYQhoSgnpOAoEJCekQE2F35h7TknZKs/eG/OnpPw+uDjl29YBZiLyZqjUwFHQTMc+C0HA&#10;9RA/UjEQkLiIfdVnhTPXyVNBfSIlOxr7kjvaS87MF0dTlTZkNHA0qtHAaHYw7JFwsgFicBAn+I+H&#10;SEpkgS4PnKHQ5GaJz1uWVuPP7xx1+S/Y/gYAAP//AwBQSwMEFAAGAAgAAAAhABVQGoHZAAAABAEA&#10;AA8AAABkcnMvZG93bnJldi54bWxMj8FOwzAQRO9I/IO1SNyoA6IlpHEqVIkLN0qFxM2Nt3FUex3Z&#10;bpr8PQsXuKw0mtHM23ozeSdGjKkPpOB+UYBAaoPpqVOw/3i9K0GkrMloFwgVzJhg01xf1boy4ULv&#10;OO5yJ7iEUqUV2JyHSsrUWvQ6LcKAxN4xRK8zy9hJE/WFy72TD0Wxkl73xAtWD7i12J52Z6/gafoM&#10;OCTc4tdxbKPt59K9zUrd3kwvaxAZp/wXhh98RoeGmQ7hTCYJp4Afyb+Xvcdl8QzioGBVLkE2tfwP&#10;33wDAAD//wMAUEsBAi0AFAAGAAgAAAAhALaDOJL+AAAA4QEAABMAAAAAAAAAAAAAAAAAAAAAAFtD&#10;b250ZW50X1R5cGVzXS54bWxQSwECLQAUAAYACAAAACEAOP0h/9YAAACUAQAACwAAAAAAAAAAAAAA&#10;AAAvAQAAX3JlbHMvLnJlbHNQSwECLQAUAAYACAAAACEAZ6seiQECAABTBAAADgAAAAAAAAAAAAAA&#10;AAAuAgAAZHJzL2Uyb0RvYy54bWxQSwECLQAUAAYACAAAACEAFVAagdkAAAAEAQAADwAAAAAAAAAA&#10;AAAAAABbBAAAZHJzL2Rvd25yZXYueG1sUEsFBgAAAAAEAAQA8wAAAGEFAAAAAA==&#10;" filled="f" stroked="f">
                <v:textbox style="mso-fit-shape-to-text:t" inset="0,0,0,0">
                  <w:txbxContent>
                    <w:p w14:paraId="1B69D24E" w14:textId="4E3FD0A4" w:rsidR="00EE621F" w:rsidRPr="00EB5209" w:rsidRDefault="00EE621F" w:rsidP="001B45C5">
                      <w:pPr>
                        <w:pStyle w:val="NormalWeb"/>
                        <w:spacing w:before="0" w:beforeAutospacing="0" w:after="0" w:afterAutospacing="0"/>
                        <w:jc w:val="center"/>
                        <w:rPr>
                          <w:rFonts w:asciiTheme="minorHAnsi" w:hAnsiTheme="minorHAnsi" w:cstheme="minorHAnsi"/>
                          <w:sz w:val="22"/>
                          <w:szCs w:val="22"/>
                        </w:rPr>
                      </w:pPr>
                      <m:oMathPara>
                        <m:oMathParaPr>
                          <m:jc m:val="centerGroup"/>
                        </m:oMathParaPr>
                        <m:oMath>
                          <m:sSub>
                            <m:sSubPr>
                              <m:ctrlPr>
                                <w:rPr>
                                  <w:rFonts w:ascii="Cambria Math" w:hAnsi="Cambria Math" w:cstheme="minorHAnsi"/>
                                  <w:i/>
                                  <w:iCs/>
                                  <w:color w:val="000000" w:themeColor="text1"/>
                                  <w:kern w:val="24"/>
                                  <w:sz w:val="22"/>
                                  <w:szCs w:val="22"/>
                                  <w:lang w:val="es-AR"/>
                                </w:rPr>
                              </m:ctrlPr>
                            </m:sSubPr>
                            <m:e>
                              <m:r>
                                <w:rPr>
                                  <w:rFonts w:ascii="Cambria Math" w:hAnsi="Cambria Math" w:cstheme="minorHAnsi"/>
                                  <w:color w:val="000000" w:themeColor="text1"/>
                                  <w:kern w:val="24"/>
                                  <w:sz w:val="22"/>
                                  <w:szCs w:val="22"/>
                                  <w:lang w:val="es-AR"/>
                                </w:rPr>
                                <m:t>CF2</m:t>
                              </m:r>
                            </m:e>
                            <m:sub>
                              <m:r>
                                <w:rPr>
                                  <w:rFonts w:ascii="Cambria Math" w:hAnsi="Cambria Math" w:cstheme="minorHAnsi"/>
                                  <w:color w:val="000000" w:themeColor="text1"/>
                                  <w:kern w:val="24"/>
                                  <w:sz w:val="22"/>
                                  <w:szCs w:val="22"/>
                                  <w:lang w:val="es-AR"/>
                                </w:rPr>
                                <m:t>i</m:t>
                              </m:r>
                            </m:sub>
                          </m:sSub>
                          <m:r>
                            <w:rPr>
                              <w:rFonts w:ascii="Cambria Math" w:hAnsi="Cambria Math" w:cstheme="minorHAnsi"/>
                              <w:color w:val="000000" w:themeColor="text1"/>
                              <w:kern w:val="24"/>
                              <w:sz w:val="22"/>
                              <w:szCs w:val="22"/>
                              <w:lang w:val="es-AR"/>
                            </w:rPr>
                            <m:t>=</m:t>
                          </m:r>
                          <m:sSub>
                            <m:sSubPr>
                              <m:ctrlPr>
                                <w:rPr>
                                  <w:rFonts w:ascii="Cambria Math" w:hAnsi="Cambria Math" w:cstheme="minorHAnsi"/>
                                  <w:i/>
                                  <w:iCs/>
                                  <w:color w:val="000000" w:themeColor="text1"/>
                                  <w:kern w:val="24"/>
                                  <w:sz w:val="22"/>
                                  <w:szCs w:val="22"/>
                                  <w:lang w:val="es-AR"/>
                                </w:rPr>
                              </m:ctrlPr>
                            </m:sSubPr>
                            <m:e>
                              <m:r>
                                <w:rPr>
                                  <w:rFonts w:ascii="Cambria Math" w:hAnsi="Cambria Math" w:cstheme="minorHAnsi"/>
                                  <w:color w:val="000000" w:themeColor="text1"/>
                                  <w:kern w:val="24"/>
                                  <w:sz w:val="22"/>
                                  <w:szCs w:val="22"/>
                                  <w:lang w:val="es-AR"/>
                                </w:rPr>
                                <m:t>PBG</m:t>
                              </m:r>
                            </m:e>
                            <m:sub>
                              <m:r>
                                <w:rPr>
                                  <w:rFonts w:ascii="Cambria Math" w:hAnsi="Cambria Math" w:cstheme="minorHAnsi"/>
                                  <w:color w:val="000000" w:themeColor="text1"/>
                                  <w:kern w:val="24"/>
                                  <w:sz w:val="22"/>
                                  <w:szCs w:val="22"/>
                                  <w:lang w:val="es-AR"/>
                                </w:rPr>
                                <m:t>i</m:t>
                              </m:r>
                            </m:sub>
                          </m:sSub>
                        </m:oMath>
                      </m:oMathPara>
                    </w:p>
                  </w:txbxContent>
                </v:textbox>
                <w10:wrap anchorx="margin"/>
              </v:shape>
            </w:pict>
          </mc:Fallback>
        </mc:AlternateContent>
      </w:r>
    </w:p>
    <w:p w14:paraId="1D7FBAE8" w14:textId="6C665E83" w:rsidR="00F94A63" w:rsidRPr="004E10B7" w:rsidRDefault="001B45C5" w:rsidP="008B5D7F">
      <w:pPr>
        <w:spacing w:line="240" w:lineRule="auto"/>
        <w:rPr>
          <w:rFonts w:cstheme="minorHAnsi"/>
          <w:lang w:val="es-AR"/>
        </w:rPr>
      </w:pPr>
      <w:r w:rsidRPr="004E10B7">
        <w:rPr>
          <w:rFonts w:cstheme="minorHAnsi"/>
          <w:lang w:val="es-AR"/>
        </w:rPr>
        <w:t>La adaptación al caso argentino de las aproximaciones propuestas por Rabell García (2010) son las siguientes:</w:t>
      </w:r>
    </w:p>
    <w:p w14:paraId="6E711037" w14:textId="5520144D" w:rsidR="001A63AC" w:rsidRPr="004E10B7" w:rsidRDefault="001B45C5" w:rsidP="008B5D7F">
      <w:pPr>
        <w:spacing w:line="240" w:lineRule="auto"/>
        <w:rPr>
          <w:rFonts w:cstheme="minorHAnsi"/>
          <w:lang w:val="es-AR"/>
        </w:rPr>
      </w:pPr>
      <w:r w:rsidRPr="004E10B7">
        <w:rPr>
          <w:rFonts w:cstheme="minorHAnsi"/>
          <w:noProof/>
          <w:lang w:val="es-AR" w:eastAsia="es-AR"/>
        </w:rPr>
        <mc:AlternateContent>
          <mc:Choice Requires="wps">
            <w:drawing>
              <wp:anchor distT="0" distB="0" distL="114300" distR="114300" simplePos="0" relativeHeight="251669504" behindDoc="0" locked="0" layoutInCell="1" allowOverlap="1" wp14:anchorId="4AB7A484" wp14:editId="781D2328">
                <wp:simplePos x="0" y="0"/>
                <wp:positionH relativeFrom="margin">
                  <wp:align>center</wp:align>
                </wp:positionH>
                <wp:positionV relativeFrom="paragraph">
                  <wp:posOffset>21265</wp:posOffset>
                </wp:positionV>
                <wp:extent cx="2863215" cy="434975"/>
                <wp:effectExtent l="0" t="0" r="0" b="0"/>
                <wp:wrapNone/>
                <wp:docPr id="9" name="CuadroTexto 14"/>
                <wp:cNvGraphicFramePr/>
                <a:graphic xmlns:a="http://schemas.openxmlformats.org/drawingml/2006/main">
                  <a:graphicData uri="http://schemas.microsoft.com/office/word/2010/wordprocessingShape">
                    <wps:wsp>
                      <wps:cNvSpPr txBox="1"/>
                      <wps:spPr>
                        <a:xfrm>
                          <a:off x="0" y="0"/>
                          <a:ext cx="2863215" cy="43497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5AC7D4C9" w14:textId="3CA0CF19" w:rsidR="00EE621F" w:rsidRPr="00EB5209" w:rsidRDefault="00EE621F" w:rsidP="001B45C5">
                            <w:pPr>
                              <w:pStyle w:val="NormalWeb"/>
                              <w:spacing w:before="0" w:beforeAutospacing="0" w:after="0" w:afterAutospacing="0"/>
                              <w:rPr>
                                <w:rFonts w:asciiTheme="minorHAnsi" w:hAnsiTheme="minorHAnsi" w:cstheme="minorHAnsi"/>
                                <w:sz w:val="22"/>
                                <w:szCs w:val="22"/>
                              </w:rPr>
                            </w:pPr>
                            <m:oMathPara>
                              <m:oMathParaPr>
                                <m:jc m:val="centerGroup"/>
                              </m:oMathParaPr>
                              <m:oMath>
                                <m:sSub>
                                  <m:sSubPr>
                                    <m:ctrlPr>
                                      <w:rPr>
                                        <w:rFonts w:ascii="Cambria Math" w:hAnsi="Cambria Math" w:cstheme="minorHAnsi"/>
                                        <w:i/>
                                        <w:iCs/>
                                        <w:color w:val="000000" w:themeColor="text1"/>
                                        <w:kern w:val="24"/>
                                        <w:sz w:val="22"/>
                                        <w:szCs w:val="22"/>
                                        <w:lang w:val="es-AR"/>
                                      </w:rPr>
                                    </m:ctrlPr>
                                  </m:sSubPr>
                                  <m:e>
                                    <m:r>
                                      <w:rPr>
                                        <w:rFonts w:ascii="Cambria Math" w:hAnsi="Cambria Math" w:cstheme="minorHAnsi"/>
                                        <w:color w:val="000000" w:themeColor="text1"/>
                                        <w:kern w:val="24"/>
                                        <w:sz w:val="22"/>
                                        <w:szCs w:val="22"/>
                                        <w:lang w:val="es-AR"/>
                                      </w:rPr>
                                      <m:t>CF1</m:t>
                                    </m:r>
                                  </m:e>
                                  <m:sub>
                                    <m:r>
                                      <w:rPr>
                                        <w:rFonts w:ascii="Cambria Math" w:hAnsi="Cambria Math" w:cstheme="minorHAnsi"/>
                                        <w:color w:val="000000" w:themeColor="text1"/>
                                        <w:kern w:val="24"/>
                                        <w:sz w:val="22"/>
                                        <w:szCs w:val="22"/>
                                        <w:lang w:val="es-AR"/>
                                      </w:rPr>
                                      <m:t>i</m:t>
                                    </m:r>
                                  </m:sub>
                                </m:sSub>
                                <m:r>
                                  <w:rPr>
                                    <w:rFonts w:ascii="Cambria Math" w:hAnsi="Cambria Math" w:cstheme="minorHAnsi"/>
                                    <w:color w:val="000000" w:themeColor="text1"/>
                                    <w:kern w:val="24"/>
                                    <w:sz w:val="22"/>
                                    <w:szCs w:val="22"/>
                                    <w:lang w:val="es-AR"/>
                                  </w:rPr>
                                  <m:t>=</m:t>
                                </m:r>
                                <m:f>
                                  <m:fPr>
                                    <m:ctrlPr>
                                      <w:rPr>
                                        <w:rFonts w:ascii="Cambria Math" w:hAnsi="Cambria Math" w:cstheme="minorHAnsi"/>
                                        <w:i/>
                                        <w:iCs/>
                                        <w:color w:val="000000" w:themeColor="text1"/>
                                        <w:kern w:val="24"/>
                                        <w:sz w:val="22"/>
                                        <w:szCs w:val="22"/>
                                        <w:lang w:val="es-AR"/>
                                      </w:rPr>
                                    </m:ctrlPr>
                                  </m:fPr>
                                  <m:num>
                                    <m:sSub>
                                      <m:sSubPr>
                                        <m:ctrlPr>
                                          <w:rPr>
                                            <w:rFonts w:ascii="Cambria Math" w:hAnsi="Cambria Math" w:cstheme="minorHAnsi"/>
                                            <w:i/>
                                            <w:iCs/>
                                            <w:color w:val="000000" w:themeColor="text1"/>
                                            <w:kern w:val="24"/>
                                            <w:sz w:val="22"/>
                                            <w:szCs w:val="22"/>
                                            <w:lang w:val="es-AR"/>
                                          </w:rPr>
                                        </m:ctrlPr>
                                      </m:sSubPr>
                                      <m:e>
                                        <m:r>
                                          <w:rPr>
                                            <w:rFonts w:ascii="Cambria Math" w:hAnsi="Cambria Math" w:cstheme="minorHAnsi"/>
                                            <w:color w:val="000000" w:themeColor="text1"/>
                                            <w:kern w:val="24"/>
                                            <w:sz w:val="22"/>
                                            <w:szCs w:val="22"/>
                                            <w:lang w:val="es-AR"/>
                                          </w:rPr>
                                          <m:t>PBG per cap</m:t>
                                        </m:r>
                                      </m:e>
                                      <m:sub>
                                        <m:r>
                                          <w:rPr>
                                            <w:rFonts w:ascii="Cambria Math" w:hAnsi="Cambria Math" w:cstheme="minorHAnsi"/>
                                            <w:color w:val="000000" w:themeColor="text1"/>
                                            <w:kern w:val="24"/>
                                            <w:sz w:val="22"/>
                                            <w:szCs w:val="22"/>
                                            <w:lang w:val="es-AR"/>
                                          </w:rPr>
                                          <m:t>i</m:t>
                                        </m:r>
                                      </m:sub>
                                    </m:sSub>
                                    <m:r>
                                      <w:rPr>
                                        <w:rFonts w:ascii="Cambria Math" w:hAnsi="Cambria Math" w:cstheme="minorHAnsi"/>
                                        <w:color w:val="000000" w:themeColor="text1"/>
                                        <w:kern w:val="24"/>
                                        <w:sz w:val="22"/>
                                        <w:szCs w:val="22"/>
                                        <w:lang w:val="es-AR"/>
                                      </w:rPr>
                                      <m:t>*</m:t>
                                    </m:r>
                                    <m:sSub>
                                      <m:sSubPr>
                                        <m:ctrlPr>
                                          <w:rPr>
                                            <w:rFonts w:ascii="Cambria Math" w:hAnsi="Cambria Math" w:cstheme="minorHAnsi"/>
                                            <w:i/>
                                            <w:iCs/>
                                            <w:color w:val="000000" w:themeColor="text1"/>
                                            <w:kern w:val="24"/>
                                            <w:sz w:val="22"/>
                                            <w:szCs w:val="22"/>
                                            <w:lang w:val="es-AR"/>
                                          </w:rPr>
                                        </m:ctrlPr>
                                      </m:sSubPr>
                                      <m:e>
                                        <m:r>
                                          <w:rPr>
                                            <w:rFonts w:ascii="Cambria Math" w:hAnsi="Cambria Math" w:cstheme="minorHAnsi"/>
                                            <w:color w:val="000000" w:themeColor="text1"/>
                                            <w:kern w:val="24"/>
                                            <w:sz w:val="22"/>
                                            <w:szCs w:val="22"/>
                                            <w:lang w:val="es-AR"/>
                                          </w:rPr>
                                          <m:t>t</m:t>
                                        </m:r>
                                      </m:e>
                                      <m:sub>
                                        <m:r>
                                          <w:rPr>
                                            <w:rFonts w:ascii="Cambria Math" w:hAnsi="Cambria Math" w:cstheme="minorHAnsi"/>
                                            <w:color w:val="000000" w:themeColor="text1"/>
                                            <w:kern w:val="24"/>
                                            <w:sz w:val="22"/>
                                            <w:szCs w:val="22"/>
                                            <w:lang w:val="es-AR"/>
                                          </w:rPr>
                                          <m:t>promedio</m:t>
                                        </m:r>
                                      </m:sub>
                                    </m:sSub>
                                  </m:num>
                                  <m:den>
                                    <m:sSub>
                                      <m:sSubPr>
                                        <m:ctrlPr>
                                          <w:rPr>
                                            <w:rFonts w:ascii="Cambria Math" w:hAnsi="Cambria Math" w:cstheme="minorHAnsi"/>
                                            <w:i/>
                                            <w:iCs/>
                                            <w:color w:val="000000" w:themeColor="text1"/>
                                            <w:kern w:val="24"/>
                                            <w:sz w:val="22"/>
                                            <w:szCs w:val="22"/>
                                            <w:lang w:val="es-AR"/>
                                          </w:rPr>
                                        </m:ctrlPr>
                                      </m:sSubPr>
                                      <m:e>
                                        <m:r>
                                          <w:rPr>
                                            <w:rFonts w:ascii="Cambria Math" w:hAnsi="Cambria Math" w:cstheme="minorHAnsi"/>
                                            <w:color w:val="000000" w:themeColor="text1"/>
                                            <w:kern w:val="24"/>
                                            <w:sz w:val="22"/>
                                            <w:szCs w:val="22"/>
                                            <w:lang w:val="es-AR"/>
                                          </w:rPr>
                                          <m:t>PBG per cap</m:t>
                                        </m:r>
                                      </m:e>
                                      <m:sub>
                                        <m:r>
                                          <w:rPr>
                                            <w:rFonts w:ascii="Cambria Math" w:hAnsi="Cambria Math" w:cstheme="minorHAnsi"/>
                                            <w:color w:val="000000" w:themeColor="text1"/>
                                            <w:kern w:val="24"/>
                                            <w:sz w:val="22"/>
                                            <w:szCs w:val="22"/>
                                            <w:lang w:val="es-AR"/>
                                          </w:rPr>
                                          <m:t>promedio</m:t>
                                        </m:r>
                                      </m:sub>
                                    </m:sSub>
                                    <m:r>
                                      <w:rPr>
                                        <w:rFonts w:ascii="Cambria Math" w:hAnsi="Cambria Math" w:cstheme="minorHAnsi"/>
                                        <w:color w:val="000000" w:themeColor="text1"/>
                                        <w:kern w:val="24"/>
                                        <w:sz w:val="22"/>
                                        <w:szCs w:val="22"/>
                                        <w:lang w:val="es-AR"/>
                                      </w:rPr>
                                      <m:t>*</m:t>
                                    </m:r>
                                    <m:sSub>
                                      <m:sSubPr>
                                        <m:ctrlPr>
                                          <w:rPr>
                                            <w:rFonts w:ascii="Cambria Math" w:hAnsi="Cambria Math" w:cstheme="minorHAnsi"/>
                                            <w:i/>
                                            <w:iCs/>
                                            <w:color w:val="000000" w:themeColor="text1"/>
                                            <w:kern w:val="24"/>
                                            <w:sz w:val="22"/>
                                            <w:szCs w:val="22"/>
                                            <w:lang w:val="es-AR"/>
                                          </w:rPr>
                                        </m:ctrlPr>
                                      </m:sSubPr>
                                      <m:e>
                                        <m:r>
                                          <w:rPr>
                                            <w:rFonts w:ascii="Cambria Math" w:hAnsi="Cambria Math" w:cstheme="minorHAnsi"/>
                                            <w:color w:val="000000" w:themeColor="text1"/>
                                            <w:kern w:val="24"/>
                                            <w:sz w:val="22"/>
                                            <w:szCs w:val="22"/>
                                            <w:lang w:val="es-AR"/>
                                          </w:rPr>
                                          <m:t>t</m:t>
                                        </m:r>
                                      </m:e>
                                      <m:sub>
                                        <m:r>
                                          <w:rPr>
                                            <w:rFonts w:ascii="Cambria Math" w:hAnsi="Cambria Math" w:cstheme="minorHAnsi"/>
                                            <w:color w:val="000000" w:themeColor="text1"/>
                                            <w:kern w:val="24"/>
                                            <w:sz w:val="22"/>
                                            <w:szCs w:val="22"/>
                                            <w:lang w:val="es-AR"/>
                                          </w:rPr>
                                          <m:t>promedio</m:t>
                                        </m:r>
                                      </m:sub>
                                    </m:sSub>
                                  </m:den>
                                </m:f>
                              </m:oMath>
                            </m:oMathPara>
                          </w:p>
                        </w:txbxContent>
                      </wps:txbx>
                      <wps:bodyPr wrap="none" lIns="0" tIns="0" rIns="0" bIns="0" rtlCol="0" anchor="t">
                        <a:spAutoFit/>
                      </wps:bodyPr>
                    </wps:wsp>
                  </a:graphicData>
                </a:graphic>
              </wp:anchor>
            </w:drawing>
          </mc:Choice>
          <mc:Fallback>
            <w:pict>
              <v:shape w14:anchorId="4AB7A484" id="_x0000_s1032" type="#_x0000_t202" style="position:absolute;left:0;text-align:left;margin-left:0;margin-top:1.65pt;width:225.45pt;height:34.25pt;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l/oAwIAAFIEAAAOAAAAZHJzL2Uyb0RvYy54bWysVNtu2zAMfR+wfxD0vjhJ06wN4hRbig4D&#10;hm1Yuw+QZSk2IIkCpcTO34+SY3dYn1rsRZEpXg7PIbO9661hJ4WhBVfyxWzOmXIS6tYdSv776eHD&#10;DWchClcLA06V/KwCv9u9f7ft/EYtoQFTK2SUxIVN50vexOg3RRFko6wIM/DK0aMGtCLSJx6KGkVH&#10;2a0plvP5uugAa48gVQhkvR8e+S7n11rJ+EProCIzJSdsMZ+YzyqdxW4rNgcUvmnlBYZ4AworWkdF&#10;p1T3Igp2xPZFKttKhAA6ziTYArRupco9UDeL+T/dPDbCq9wLkRP8RFP4f2nl99NPZG1d8lvOnLAk&#10;0f4oaoQn1Udgi1ViqPNhQ46Pnlxj/xl6Unq0BzKmxnuNNv1SS4zeievzxC+lYpKMy5v11XJxzZmk&#10;t9XV6vbjdUpTPEd7DPGLAsvSpeRI+mVaxelbiIPr6JKKOXhojUn2BHGAkm/xbFRyMO6X0tReRpQM&#10;QeKh2htkwwzQkBLScRIISA5IjpoSvzL2EpKiVR69V8ZPQbk+uDjF29YBZiLyYqjUwEnQSMc+C0HA&#10;9eA/UjEQkLiIfdVngdejZBXUZ1Kyo6kvuaO15Mx8dTRUaUHGC46XarxgNHsY1kg42QAxOIgT/Kdj&#10;JCWyQKnkUOAChQY3S3xZsrQZf39nr+e/gt0fAAAA//8DAFBLAwQUAAYACAAAACEAfy/bcNkAAAAF&#10;AQAADwAAAGRycy9kb3ducmV2LnhtbEyPwU7DMBBE70j8g7VI3KhTCjQNcSpUiQs3WoTEzY23cYS9&#10;jmw3Tf6e5QTH1YzevK23k3dixJj6QAqWiwIEUhtMT52Cj8PrXQkiZU1Gu0CoYMYE2+b6qtaVCRd6&#10;x3GfO8EQSpVWYHMeKilTa9HrtAgDEmenEL3OfMZOmqgvDPdO3hfFk/S6J16wesCdxfZ7f/YK1tNn&#10;wCHhDr9OYxttP5fubVbq9mZ6eQaRccp/ZfjVZ3Vo2OkYzmSScAr4kaxgtQLB4cNjsQFxZPKyBNnU&#10;8r998wMAAP//AwBQSwECLQAUAAYACAAAACEAtoM4kv4AAADhAQAAEwAAAAAAAAAAAAAAAAAAAAAA&#10;W0NvbnRlbnRfVHlwZXNdLnhtbFBLAQItABQABgAIAAAAIQA4/SH/1gAAAJQBAAALAAAAAAAAAAAA&#10;AAAAAC8BAABfcmVscy8ucmVsc1BLAQItABQABgAIAAAAIQDS1l/oAwIAAFIEAAAOAAAAAAAAAAAA&#10;AAAAAC4CAABkcnMvZTJvRG9jLnhtbFBLAQItABQABgAIAAAAIQB/L9tw2QAAAAUBAAAPAAAAAAAA&#10;AAAAAAAAAF0EAABkcnMvZG93bnJldi54bWxQSwUGAAAAAAQABADzAAAAYwUAAAAA&#10;" filled="f" stroked="f">
                <v:textbox style="mso-fit-shape-to-text:t" inset="0,0,0,0">
                  <w:txbxContent>
                    <w:p w14:paraId="5AC7D4C9" w14:textId="3CA0CF19" w:rsidR="00EE621F" w:rsidRPr="00EB5209" w:rsidRDefault="00EE621F" w:rsidP="001B45C5">
                      <w:pPr>
                        <w:pStyle w:val="NormalWeb"/>
                        <w:spacing w:before="0" w:beforeAutospacing="0" w:after="0" w:afterAutospacing="0"/>
                        <w:rPr>
                          <w:rFonts w:asciiTheme="minorHAnsi" w:hAnsiTheme="minorHAnsi" w:cstheme="minorHAnsi"/>
                          <w:sz w:val="22"/>
                          <w:szCs w:val="22"/>
                        </w:rPr>
                      </w:pPr>
                      <m:oMathPara>
                        <m:oMathParaPr>
                          <m:jc m:val="centerGroup"/>
                        </m:oMathParaPr>
                        <m:oMath>
                          <m:sSub>
                            <m:sSubPr>
                              <m:ctrlPr>
                                <w:rPr>
                                  <w:rFonts w:ascii="Cambria Math" w:hAnsi="Cambria Math" w:cstheme="minorHAnsi"/>
                                  <w:i/>
                                  <w:iCs/>
                                  <w:color w:val="000000" w:themeColor="text1"/>
                                  <w:kern w:val="24"/>
                                  <w:sz w:val="22"/>
                                  <w:szCs w:val="22"/>
                                  <w:lang w:val="es-AR"/>
                                </w:rPr>
                              </m:ctrlPr>
                            </m:sSubPr>
                            <m:e>
                              <m:r>
                                <w:rPr>
                                  <w:rFonts w:ascii="Cambria Math" w:hAnsi="Cambria Math" w:cstheme="minorHAnsi"/>
                                  <w:color w:val="000000" w:themeColor="text1"/>
                                  <w:kern w:val="24"/>
                                  <w:sz w:val="22"/>
                                  <w:szCs w:val="22"/>
                                  <w:lang w:val="es-AR"/>
                                </w:rPr>
                                <m:t>CF1</m:t>
                              </m:r>
                            </m:e>
                            <m:sub>
                              <m:r>
                                <w:rPr>
                                  <w:rFonts w:ascii="Cambria Math" w:hAnsi="Cambria Math" w:cstheme="minorHAnsi"/>
                                  <w:color w:val="000000" w:themeColor="text1"/>
                                  <w:kern w:val="24"/>
                                  <w:sz w:val="22"/>
                                  <w:szCs w:val="22"/>
                                  <w:lang w:val="es-AR"/>
                                </w:rPr>
                                <m:t>i</m:t>
                              </m:r>
                            </m:sub>
                          </m:sSub>
                          <m:r>
                            <w:rPr>
                              <w:rFonts w:ascii="Cambria Math" w:hAnsi="Cambria Math" w:cstheme="minorHAnsi"/>
                              <w:color w:val="000000" w:themeColor="text1"/>
                              <w:kern w:val="24"/>
                              <w:sz w:val="22"/>
                              <w:szCs w:val="22"/>
                              <w:lang w:val="es-AR"/>
                            </w:rPr>
                            <m:t>=</m:t>
                          </m:r>
                          <m:f>
                            <m:fPr>
                              <m:ctrlPr>
                                <w:rPr>
                                  <w:rFonts w:ascii="Cambria Math" w:hAnsi="Cambria Math" w:cstheme="minorHAnsi"/>
                                  <w:i/>
                                  <w:iCs/>
                                  <w:color w:val="000000" w:themeColor="text1"/>
                                  <w:kern w:val="24"/>
                                  <w:sz w:val="22"/>
                                  <w:szCs w:val="22"/>
                                  <w:lang w:val="es-AR"/>
                                </w:rPr>
                              </m:ctrlPr>
                            </m:fPr>
                            <m:num>
                              <m:sSub>
                                <m:sSubPr>
                                  <m:ctrlPr>
                                    <w:rPr>
                                      <w:rFonts w:ascii="Cambria Math" w:hAnsi="Cambria Math" w:cstheme="minorHAnsi"/>
                                      <w:i/>
                                      <w:iCs/>
                                      <w:color w:val="000000" w:themeColor="text1"/>
                                      <w:kern w:val="24"/>
                                      <w:sz w:val="22"/>
                                      <w:szCs w:val="22"/>
                                      <w:lang w:val="es-AR"/>
                                    </w:rPr>
                                  </m:ctrlPr>
                                </m:sSubPr>
                                <m:e>
                                  <m:r>
                                    <w:rPr>
                                      <w:rFonts w:ascii="Cambria Math" w:hAnsi="Cambria Math" w:cstheme="minorHAnsi"/>
                                      <w:color w:val="000000" w:themeColor="text1"/>
                                      <w:kern w:val="24"/>
                                      <w:sz w:val="22"/>
                                      <w:szCs w:val="22"/>
                                      <w:lang w:val="es-AR"/>
                                    </w:rPr>
                                    <m:t>PBG per cap</m:t>
                                  </m:r>
                                </m:e>
                                <m:sub>
                                  <m:r>
                                    <w:rPr>
                                      <w:rFonts w:ascii="Cambria Math" w:hAnsi="Cambria Math" w:cstheme="minorHAnsi"/>
                                      <w:color w:val="000000" w:themeColor="text1"/>
                                      <w:kern w:val="24"/>
                                      <w:sz w:val="22"/>
                                      <w:szCs w:val="22"/>
                                      <w:lang w:val="es-AR"/>
                                    </w:rPr>
                                    <m:t>i</m:t>
                                  </m:r>
                                </m:sub>
                              </m:sSub>
                              <m:r>
                                <w:rPr>
                                  <w:rFonts w:ascii="Cambria Math" w:hAnsi="Cambria Math" w:cstheme="minorHAnsi"/>
                                  <w:color w:val="000000" w:themeColor="text1"/>
                                  <w:kern w:val="24"/>
                                  <w:sz w:val="22"/>
                                  <w:szCs w:val="22"/>
                                  <w:lang w:val="es-AR"/>
                                </w:rPr>
                                <m:t>*</m:t>
                              </m:r>
                              <m:sSub>
                                <m:sSubPr>
                                  <m:ctrlPr>
                                    <w:rPr>
                                      <w:rFonts w:ascii="Cambria Math" w:hAnsi="Cambria Math" w:cstheme="minorHAnsi"/>
                                      <w:i/>
                                      <w:iCs/>
                                      <w:color w:val="000000" w:themeColor="text1"/>
                                      <w:kern w:val="24"/>
                                      <w:sz w:val="22"/>
                                      <w:szCs w:val="22"/>
                                      <w:lang w:val="es-AR"/>
                                    </w:rPr>
                                  </m:ctrlPr>
                                </m:sSubPr>
                                <m:e>
                                  <m:r>
                                    <w:rPr>
                                      <w:rFonts w:ascii="Cambria Math" w:hAnsi="Cambria Math" w:cstheme="minorHAnsi"/>
                                      <w:color w:val="000000" w:themeColor="text1"/>
                                      <w:kern w:val="24"/>
                                      <w:sz w:val="22"/>
                                      <w:szCs w:val="22"/>
                                      <w:lang w:val="es-AR"/>
                                    </w:rPr>
                                    <m:t>t</m:t>
                                  </m:r>
                                </m:e>
                                <m:sub>
                                  <m:r>
                                    <w:rPr>
                                      <w:rFonts w:ascii="Cambria Math" w:hAnsi="Cambria Math" w:cstheme="minorHAnsi"/>
                                      <w:color w:val="000000" w:themeColor="text1"/>
                                      <w:kern w:val="24"/>
                                      <w:sz w:val="22"/>
                                      <w:szCs w:val="22"/>
                                      <w:lang w:val="es-AR"/>
                                    </w:rPr>
                                    <m:t>promedio</m:t>
                                  </m:r>
                                </m:sub>
                              </m:sSub>
                            </m:num>
                            <m:den>
                              <m:sSub>
                                <m:sSubPr>
                                  <m:ctrlPr>
                                    <w:rPr>
                                      <w:rFonts w:ascii="Cambria Math" w:hAnsi="Cambria Math" w:cstheme="minorHAnsi"/>
                                      <w:i/>
                                      <w:iCs/>
                                      <w:color w:val="000000" w:themeColor="text1"/>
                                      <w:kern w:val="24"/>
                                      <w:sz w:val="22"/>
                                      <w:szCs w:val="22"/>
                                      <w:lang w:val="es-AR"/>
                                    </w:rPr>
                                  </m:ctrlPr>
                                </m:sSubPr>
                                <m:e>
                                  <m:r>
                                    <w:rPr>
                                      <w:rFonts w:ascii="Cambria Math" w:hAnsi="Cambria Math" w:cstheme="minorHAnsi"/>
                                      <w:color w:val="000000" w:themeColor="text1"/>
                                      <w:kern w:val="24"/>
                                      <w:sz w:val="22"/>
                                      <w:szCs w:val="22"/>
                                      <w:lang w:val="es-AR"/>
                                    </w:rPr>
                                    <m:t>PBG per cap</m:t>
                                  </m:r>
                                </m:e>
                                <m:sub>
                                  <m:r>
                                    <w:rPr>
                                      <w:rFonts w:ascii="Cambria Math" w:hAnsi="Cambria Math" w:cstheme="minorHAnsi"/>
                                      <w:color w:val="000000" w:themeColor="text1"/>
                                      <w:kern w:val="24"/>
                                      <w:sz w:val="22"/>
                                      <w:szCs w:val="22"/>
                                      <w:lang w:val="es-AR"/>
                                    </w:rPr>
                                    <m:t>promedio</m:t>
                                  </m:r>
                                </m:sub>
                              </m:sSub>
                              <m:r>
                                <w:rPr>
                                  <w:rFonts w:ascii="Cambria Math" w:hAnsi="Cambria Math" w:cstheme="minorHAnsi"/>
                                  <w:color w:val="000000" w:themeColor="text1"/>
                                  <w:kern w:val="24"/>
                                  <w:sz w:val="22"/>
                                  <w:szCs w:val="22"/>
                                  <w:lang w:val="es-AR"/>
                                </w:rPr>
                                <m:t>*</m:t>
                              </m:r>
                              <m:sSub>
                                <m:sSubPr>
                                  <m:ctrlPr>
                                    <w:rPr>
                                      <w:rFonts w:ascii="Cambria Math" w:hAnsi="Cambria Math" w:cstheme="minorHAnsi"/>
                                      <w:i/>
                                      <w:iCs/>
                                      <w:color w:val="000000" w:themeColor="text1"/>
                                      <w:kern w:val="24"/>
                                      <w:sz w:val="22"/>
                                      <w:szCs w:val="22"/>
                                      <w:lang w:val="es-AR"/>
                                    </w:rPr>
                                  </m:ctrlPr>
                                </m:sSubPr>
                                <m:e>
                                  <m:r>
                                    <w:rPr>
                                      <w:rFonts w:ascii="Cambria Math" w:hAnsi="Cambria Math" w:cstheme="minorHAnsi"/>
                                      <w:color w:val="000000" w:themeColor="text1"/>
                                      <w:kern w:val="24"/>
                                      <w:sz w:val="22"/>
                                      <w:szCs w:val="22"/>
                                      <w:lang w:val="es-AR"/>
                                    </w:rPr>
                                    <m:t>t</m:t>
                                  </m:r>
                                </m:e>
                                <m:sub>
                                  <m:r>
                                    <w:rPr>
                                      <w:rFonts w:ascii="Cambria Math" w:hAnsi="Cambria Math" w:cstheme="minorHAnsi"/>
                                      <w:color w:val="000000" w:themeColor="text1"/>
                                      <w:kern w:val="24"/>
                                      <w:sz w:val="22"/>
                                      <w:szCs w:val="22"/>
                                      <w:lang w:val="es-AR"/>
                                    </w:rPr>
                                    <m:t>promedio</m:t>
                                  </m:r>
                                </m:sub>
                              </m:sSub>
                            </m:den>
                          </m:f>
                        </m:oMath>
                      </m:oMathPara>
                    </w:p>
                  </w:txbxContent>
                </v:textbox>
                <w10:wrap anchorx="margin"/>
              </v:shape>
            </w:pict>
          </mc:Fallback>
        </mc:AlternateContent>
      </w:r>
    </w:p>
    <w:p w14:paraId="5B1E37FE" w14:textId="3A3613D0" w:rsidR="001D07FD" w:rsidRPr="004E10B7" w:rsidRDefault="001D07FD" w:rsidP="008B5D7F">
      <w:pPr>
        <w:spacing w:line="240" w:lineRule="auto"/>
        <w:rPr>
          <w:rFonts w:cstheme="minorHAnsi"/>
          <w:lang w:val="es-AR"/>
        </w:rPr>
      </w:pPr>
    </w:p>
    <w:p w14:paraId="31570482" w14:textId="47A2F64B" w:rsidR="001D07FD" w:rsidRPr="004E10B7" w:rsidRDefault="001B45C5" w:rsidP="008B5D7F">
      <w:pPr>
        <w:spacing w:line="240" w:lineRule="auto"/>
        <w:rPr>
          <w:rFonts w:cstheme="minorHAnsi"/>
          <w:lang w:val="es-AR"/>
        </w:rPr>
      </w:pPr>
      <w:r w:rsidRPr="004E10B7">
        <w:rPr>
          <w:rFonts w:cstheme="minorHAnsi"/>
          <w:noProof/>
          <w:lang w:val="es-AR" w:eastAsia="es-AR"/>
        </w:rPr>
        <mc:AlternateContent>
          <mc:Choice Requires="wps">
            <w:drawing>
              <wp:anchor distT="0" distB="0" distL="114300" distR="114300" simplePos="0" relativeHeight="251671552" behindDoc="0" locked="0" layoutInCell="1" allowOverlap="1" wp14:anchorId="19C72526" wp14:editId="0CF73365">
                <wp:simplePos x="0" y="0"/>
                <wp:positionH relativeFrom="margin">
                  <wp:align>center</wp:align>
                </wp:positionH>
                <wp:positionV relativeFrom="paragraph">
                  <wp:posOffset>6705</wp:posOffset>
                </wp:positionV>
                <wp:extent cx="2315249" cy="435504"/>
                <wp:effectExtent l="0" t="0" r="0" b="0"/>
                <wp:wrapNone/>
                <wp:docPr id="11" name="CuadroTexto 13"/>
                <wp:cNvGraphicFramePr/>
                <a:graphic xmlns:a="http://schemas.openxmlformats.org/drawingml/2006/main">
                  <a:graphicData uri="http://schemas.microsoft.com/office/word/2010/wordprocessingShape">
                    <wps:wsp>
                      <wps:cNvSpPr txBox="1"/>
                      <wps:spPr>
                        <a:xfrm>
                          <a:off x="0" y="0"/>
                          <a:ext cx="2315249" cy="435504"/>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BE1BDA0" w14:textId="7E4D5625" w:rsidR="00EE621F" w:rsidRPr="001D07FD" w:rsidRDefault="00EE621F" w:rsidP="001B45C5">
                            <w:pPr>
                              <w:pStyle w:val="NormalWeb"/>
                              <w:spacing w:before="0" w:beforeAutospacing="0" w:after="0" w:afterAutospacing="0"/>
                              <w:rPr>
                                <w:sz w:val="22"/>
                                <w:szCs w:val="22"/>
                              </w:rPr>
                            </w:pPr>
                            <m:oMathPara>
                              <m:oMathParaPr>
                                <m:jc m:val="centerGroup"/>
                              </m:oMathParaPr>
                              <m:oMath>
                                <m:sSub>
                                  <m:sSubPr>
                                    <m:ctrlPr>
                                      <w:rPr>
                                        <w:rFonts w:ascii="Cambria Math" w:hAnsi="Cambria Math" w:cstheme="minorBidi"/>
                                        <w:i/>
                                        <w:iCs/>
                                        <w:color w:val="000000" w:themeColor="text1"/>
                                        <w:kern w:val="24"/>
                                        <w:sz w:val="22"/>
                                        <w:szCs w:val="22"/>
                                        <w:lang w:val="es-AR"/>
                                      </w:rPr>
                                    </m:ctrlPr>
                                  </m:sSubPr>
                                  <m:e>
                                    <m:r>
                                      <w:rPr>
                                        <w:rFonts w:ascii="Cambria Math" w:hAnsi="Cambria Math" w:cstheme="minorBidi"/>
                                        <w:color w:val="000000" w:themeColor="text1"/>
                                        <w:kern w:val="24"/>
                                        <w:sz w:val="22"/>
                                        <w:szCs w:val="22"/>
                                        <w:lang w:val="es-AR"/>
                                      </w:rPr>
                                      <m:t>EF1</m:t>
                                    </m:r>
                                  </m:e>
                                  <m:sub>
                                    <m:r>
                                      <w:rPr>
                                        <w:rFonts w:ascii="Cambria Math" w:hAnsi="Cambria Math" w:cstheme="minorBidi"/>
                                        <w:color w:val="000000" w:themeColor="text1"/>
                                        <w:kern w:val="24"/>
                                        <w:sz w:val="22"/>
                                        <w:szCs w:val="22"/>
                                        <w:lang w:val="es-AR"/>
                                      </w:rPr>
                                      <m:t>i</m:t>
                                    </m:r>
                                  </m:sub>
                                </m:sSub>
                                <m:r>
                                  <w:rPr>
                                    <w:rFonts w:ascii="Cambria Math" w:hAnsi="Cambria Math" w:cstheme="minorBidi"/>
                                    <w:color w:val="000000" w:themeColor="text1"/>
                                    <w:kern w:val="24"/>
                                    <w:sz w:val="22"/>
                                    <w:szCs w:val="22"/>
                                    <w:lang w:val="es-AR"/>
                                  </w:rPr>
                                  <m:t>=</m:t>
                                </m:r>
                                <m:f>
                                  <m:fPr>
                                    <m:ctrlPr>
                                      <w:rPr>
                                        <w:rFonts w:ascii="Cambria Math" w:hAnsi="Cambria Math" w:cstheme="minorBidi"/>
                                        <w:i/>
                                        <w:iCs/>
                                        <w:color w:val="000000" w:themeColor="text1"/>
                                        <w:kern w:val="24"/>
                                        <w:sz w:val="22"/>
                                        <w:szCs w:val="22"/>
                                        <w:lang w:val="es-AR"/>
                                      </w:rPr>
                                    </m:ctrlPr>
                                  </m:fPr>
                                  <m:num>
                                    <m:sSub>
                                      <m:sSubPr>
                                        <m:ctrlPr>
                                          <w:rPr>
                                            <w:rFonts w:ascii="Cambria Math" w:hAnsi="Cambria Math" w:cstheme="minorBidi"/>
                                            <w:i/>
                                            <w:iCs/>
                                            <w:color w:val="000000" w:themeColor="text1"/>
                                            <w:kern w:val="24"/>
                                            <w:sz w:val="22"/>
                                            <w:szCs w:val="22"/>
                                            <w:lang w:val="es-AR"/>
                                          </w:rPr>
                                        </m:ctrlPr>
                                      </m:sSubPr>
                                      <m:e>
                                        <m:r>
                                          <w:rPr>
                                            <w:rFonts w:ascii="Cambria Math" w:hAnsi="Cambria Math" w:cstheme="minorBidi"/>
                                            <w:color w:val="000000" w:themeColor="text1"/>
                                            <w:kern w:val="24"/>
                                            <w:sz w:val="22"/>
                                            <w:szCs w:val="22"/>
                                            <w:lang w:val="es-AR"/>
                                          </w:rPr>
                                          <m:t>PBG </m:t>
                                        </m:r>
                                      </m:e>
                                      <m:sub>
                                        <m:r>
                                          <w:rPr>
                                            <w:rFonts w:ascii="Cambria Math" w:hAnsi="Cambria Math" w:cstheme="minorBidi"/>
                                            <w:color w:val="000000" w:themeColor="text1"/>
                                            <w:kern w:val="24"/>
                                            <w:sz w:val="22"/>
                                            <w:szCs w:val="22"/>
                                            <w:lang w:val="es-AR"/>
                                          </w:rPr>
                                          <m:t>promedio</m:t>
                                        </m:r>
                                      </m:sub>
                                    </m:sSub>
                                    <m:r>
                                      <w:rPr>
                                        <w:rFonts w:ascii="Cambria Math" w:hAnsi="Cambria Math" w:cstheme="minorBidi"/>
                                        <w:color w:val="000000" w:themeColor="text1"/>
                                        <w:kern w:val="24"/>
                                        <w:sz w:val="22"/>
                                        <w:szCs w:val="22"/>
                                        <w:lang w:val="es-AR"/>
                                      </w:rPr>
                                      <m:t>*</m:t>
                                    </m:r>
                                    <m:sSub>
                                      <m:sSubPr>
                                        <m:ctrlPr>
                                          <w:rPr>
                                            <w:rFonts w:ascii="Cambria Math" w:hAnsi="Cambria Math" w:cstheme="minorBidi"/>
                                            <w:i/>
                                            <w:iCs/>
                                            <w:color w:val="000000" w:themeColor="text1"/>
                                            <w:kern w:val="24"/>
                                            <w:sz w:val="22"/>
                                            <w:szCs w:val="22"/>
                                            <w:lang w:val="es-AR"/>
                                          </w:rPr>
                                        </m:ctrlPr>
                                      </m:sSubPr>
                                      <m:e>
                                        <m:r>
                                          <w:rPr>
                                            <w:rFonts w:ascii="Cambria Math" w:hAnsi="Cambria Math" w:cstheme="minorBidi"/>
                                            <w:color w:val="000000" w:themeColor="text1"/>
                                            <w:kern w:val="24"/>
                                            <w:sz w:val="22"/>
                                            <w:szCs w:val="22"/>
                                            <w:lang w:val="es-AR"/>
                                          </w:rPr>
                                          <m:t>t</m:t>
                                        </m:r>
                                      </m:e>
                                      <m:sub>
                                        <m:r>
                                          <w:rPr>
                                            <w:rFonts w:ascii="Cambria Math" w:hAnsi="Cambria Math" w:cstheme="minorBidi"/>
                                            <w:color w:val="000000" w:themeColor="text1"/>
                                            <w:kern w:val="24"/>
                                            <w:sz w:val="22"/>
                                            <w:szCs w:val="22"/>
                                            <w:lang w:val="es-AR"/>
                                          </w:rPr>
                                          <m:t>i</m:t>
                                        </m:r>
                                      </m:sub>
                                    </m:sSub>
                                  </m:num>
                                  <m:den>
                                    <m:sSub>
                                      <m:sSubPr>
                                        <m:ctrlPr>
                                          <w:rPr>
                                            <w:rFonts w:ascii="Cambria Math" w:hAnsi="Cambria Math" w:cstheme="minorBidi"/>
                                            <w:i/>
                                            <w:iCs/>
                                            <w:color w:val="000000" w:themeColor="text1"/>
                                            <w:kern w:val="24"/>
                                            <w:sz w:val="22"/>
                                            <w:szCs w:val="22"/>
                                            <w:lang w:val="es-AR"/>
                                          </w:rPr>
                                        </m:ctrlPr>
                                      </m:sSubPr>
                                      <m:e>
                                        <m:r>
                                          <w:rPr>
                                            <w:rFonts w:ascii="Cambria Math" w:hAnsi="Cambria Math" w:cstheme="minorBidi"/>
                                            <w:color w:val="000000" w:themeColor="text1"/>
                                            <w:kern w:val="24"/>
                                            <w:sz w:val="22"/>
                                            <w:szCs w:val="22"/>
                                            <w:lang w:val="es-AR"/>
                                          </w:rPr>
                                          <m:t>PBG </m:t>
                                        </m:r>
                                      </m:e>
                                      <m:sub>
                                        <m:r>
                                          <w:rPr>
                                            <w:rFonts w:ascii="Cambria Math" w:hAnsi="Cambria Math" w:cstheme="minorBidi"/>
                                            <w:color w:val="000000" w:themeColor="text1"/>
                                            <w:kern w:val="24"/>
                                            <w:sz w:val="22"/>
                                            <w:szCs w:val="22"/>
                                            <w:lang w:val="es-AR"/>
                                          </w:rPr>
                                          <m:t>promedio</m:t>
                                        </m:r>
                                      </m:sub>
                                    </m:sSub>
                                    <m:r>
                                      <w:rPr>
                                        <w:rFonts w:ascii="Cambria Math" w:hAnsi="Cambria Math" w:cstheme="minorBidi"/>
                                        <w:color w:val="000000" w:themeColor="text1"/>
                                        <w:kern w:val="24"/>
                                        <w:sz w:val="22"/>
                                        <w:szCs w:val="22"/>
                                        <w:lang w:val="es-AR"/>
                                      </w:rPr>
                                      <m:t>*</m:t>
                                    </m:r>
                                    <m:sSub>
                                      <m:sSubPr>
                                        <m:ctrlPr>
                                          <w:rPr>
                                            <w:rFonts w:ascii="Cambria Math" w:hAnsi="Cambria Math" w:cstheme="minorBidi"/>
                                            <w:i/>
                                            <w:iCs/>
                                            <w:color w:val="000000" w:themeColor="text1"/>
                                            <w:kern w:val="24"/>
                                            <w:sz w:val="22"/>
                                            <w:szCs w:val="22"/>
                                            <w:lang w:val="es-AR"/>
                                          </w:rPr>
                                        </m:ctrlPr>
                                      </m:sSubPr>
                                      <m:e>
                                        <m:r>
                                          <w:rPr>
                                            <w:rFonts w:ascii="Cambria Math" w:hAnsi="Cambria Math" w:cstheme="minorBidi"/>
                                            <w:color w:val="000000" w:themeColor="text1"/>
                                            <w:kern w:val="24"/>
                                            <w:sz w:val="22"/>
                                            <w:szCs w:val="22"/>
                                            <w:lang w:val="es-AR"/>
                                          </w:rPr>
                                          <m:t>t</m:t>
                                        </m:r>
                                      </m:e>
                                      <m:sub>
                                        <m:r>
                                          <w:rPr>
                                            <w:rFonts w:ascii="Cambria Math" w:hAnsi="Cambria Math" w:cstheme="minorBidi"/>
                                            <w:color w:val="000000" w:themeColor="text1"/>
                                            <w:kern w:val="24"/>
                                            <w:sz w:val="22"/>
                                            <w:szCs w:val="22"/>
                                            <w:lang w:val="es-AR"/>
                                          </w:rPr>
                                          <m:t>promedio</m:t>
                                        </m:r>
                                      </m:sub>
                                    </m:sSub>
                                  </m:den>
                                </m:f>
                              </m:oMath>
                            </m:oMathPara>
                          </w:p>
                        </w:txbxContent>
                      </wps:txbx>
                      <wps:bodyPr wrap="none" lIns="0" tIns="0" rIns="0" bIns="0" rtlCol="0" anchor="t">
                        <a:spAutoFit/>
                      </wps:bodyPr>
                    </wps:wsp>
                  </a:graphicData>
                </a:graphic>
              </wp:anchor>
            </w:drawing>
          </mc:Choice>
          <mc:Fallback>
            <w:pict>
              <v:shape w14:anchorId="19C72526" id="_x0000_s1033" type="#_x0000_t202" style="position:absolute;left:0;text-align:left;margin-left:0;margin-top:.55pt;width:182.3pt;height:34.3pt;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1QDAgIAAFMEAAAOAAAAZHJzL2Uyb0RvYy54bWysVNuO0zAQfUfiHyy/06Q3YKumK+hqERJi&#10;Ebt8gOPYTSTbY43dJv17xk7TRezTIl5cZzyXM+fMdHs7WMNOCkMHruLzWcmZchKazh0q/uvp/t1H&#10;zkIUrhEGnKr4WQV+u3v7Ztv7jVpAC6ZRyCiJC5veV7yN0W+KIshWWRFm4JWjRw1oRaRPPBQNip6y&#10;W1MsyvJ90QM2HkGqEMh6Nz7yXc6vtZLxQeugIjMVJ2wxn5jPOp3Fbis2BxS+7eQFhvgHFFZ0jope&#10;U92JKNgRuxepbCcRAug4k2AL0LqTKvdA3czLv7p5bIVXuRciJ/grTeH/pZXfTz+QdQ1pN+fMCUsa&#10;7Y+iQXhSQwQ2XyaKeh825PnoyTcOn2Eg98keyJg6HzTa9Es9MXonss9XgikVk2RcLOfrxeqGM0lv&#10;q+V6Xa5SmuI52mOIXxRYli4VRxIw8ypO30IcXSeXVMzBfWdMsieII5R8i2ejkoNxP5Wm/jKiZAgS&#10;D/XeIBuHgKaUkE6jQEByQHLUlPiVsZeQFK3y7L0y/hqU64OL13jbOcBMRN4MlRo4CZrpOGQhCLge&#10;/ScqRgISF3Goh6zwh0myGpozKdnT2Ffc0V5yZr46mqq0IdMFp0s9XTCaPYx7JJxsgRgcxQn+0zGS&#10;ElmgVHIscIFCk5slvmxZWo0/v7PX83/B7jcAAAD//wMAUEsDBBQABgAIAAAAIQClze4c2QAAAAUB&#10;AAAPAAAAZHJzL2Rvd25yZXYueG1sTI/BTsMwEETvSPyDtZW4UaeA0hLiVKgSF26UCombG2/jqPY6&#10;st00+XuWExx3ZjTztt5O3okRY+oDKVgtCxBIbTA9dQoOn2/3GxApazLaBUIFMybYNrc3ta5MuNIH&#10;jvvcCS6hVGkFNuehkjK1Fr1OyzAgsXcK0evMZ+ykifrK5d7Jh6Iopdc98YLVA+4stuf9xStYT18B&#10;h4Q7/D6NbbT9vHHvs1J3i+n1BUTGKf+F4Ref0aFhpmO4kEnCKeBHMqsrEGw+lk8liKOC8nkNsqnl&#10;f/rmBwAA//8DAFBLAQItABQABgAIAAAAIQC2gziS/gAAAOEBAAATAAAAAAAAAAAAAAAAAAAAAABb&#10;Q29udGVudF9UeXBlc10ueG1sUEsBAi0AFAAGAAgAAAAhADj9If/WAAAAlAEAAAsAAAAAAAAAAAAA&#10;AAAALwEAAF9yZWxzLy5yZWxzUEsBAi0AFAAGAAgAAAAhAN4vVAMCAgAAUwQAAA4AAAAAAAAAAAAA&#10;AAAALgIAAGRycy9lMm9Eb2MueG1sUEsBAi0AFAAGAAgAAAAhAKXN7hzZAAAABQEAAA8AAAAAAAAA&#10;AAAAAAAAXAQAAGRycy9kb3ducmV2LnhtbFBLBQYAAAAABAAEAPMAAABiBQAAAAA=&#10;" filled="f" stroked="f">
                <v:textbox style="mso-fit-shape-to-text:t" inset="0,0,0,0">
                  <w:txbxContent>
                    <w:p w14:paraId="6BE1BDA0" w14:textId="7E4D5625" w:rsidR="00EE621F" w:rsidRPr="001D07FD" w:rsidRDefault="00EE621F" w:rsidP="001B45C5">
                      <w:pPr>
                        <w:pStyle w:val="NormalWeb"/>
                        <w:spacing w:before="0" w:beforeAutospacing="0" w:after="0" w:afterAutospacing="0"/>
                        <w:rPr>
                          <w:sz w:val="22"/>
                          <w:szCs w:val="22"/>
                        </w:rPr>
                      </w:pPr>
                      <m:oMathPara>
                        <m:oMathParaPr>
                          <m:jc m:val="centerGroup"/>
                        </m:oMathParaPr>
                        <m:oMath>
                          <m:sSub>
                            <m:sSubPr>
                              <m:ctrlPr>
                                <w:rPr>
                                  <w:rFonts w:ascii="Cambria Math" w:hAnsi="Cambria Math" w:cstheme="minorBidi"/>
                                  <w:i/>
                                  <w:iCs/>
                                  <w:color w:val="000000" w:themeColor="text1"/>
                                  <w:kern w:val="24"/>
                                  <w:sz w:val="22"/>
                                  <w:szCs w:val="22"/>
                                  <w:lang w:val="es-AR"/>
                                </w:rPr>
                              </m:ctrlPr>
                            </m:sSubPr>
                            <m:e>
                              <m:r>
                                <w:rPr>
                                  <w:rFonts w:ascii="Cambria Math" w:hAnsi="Cambria Math" w:cstheme="minorBidi"/>
                                  <w:color w:val="000000" w:themeColor="text1"/>
                                  <w:kern w:val="24"/>
                                  <w:sz w:val="22"/>
                                  <w:szCs w:val="22"/>
                                  <w:lang w:val="es-AR"/>
                                </w:rPr>
                                <m:t>EF1</m:t>
                              </m:r>
                            </m:e>
                            <m:sub>
                              <m:r>
                                <w:rPr>
                                  <w:rFonts w:ascii="Cambria Math" w:hAnsi="Cambria Math" w:cstheme="minorBidi"/>
                                  <w:color w:val="000000" w:themeColor="text1"/>
                                  <w:kern w:val="24"/>
                                  <w:sz w:val="22"/>
                                  <w:szCs w:val="22"/>
                                  <w:lang w:val="es-AR"/>
                                </w:rPr>
                                <m:t>i</m:t>
                              </m:r>
                            </m:sub>
                          </m:sSub>
                          <m:r>
                            <w:rPr>
                              <w:rFonts w:ascii="Cambria Math" w:hAnsi="Cambria Math" w:cstheme="minorBidi"/>
                              <w:color w:val="000000" w:themeColor="text1"/>
                              <w:kern w:val="24"/>
                              <w:sz w:val="22"/>
                              <w:szCs w:val="22"/>
                              <w:lang w:val="es-AR"/>
                            </w:rPr>
                            <m:t>=</m:t>
                          </m:r>
                          <m:f>
                            <m:fPr>
                              <m:ctrlPr>
                                <w:rPr>
                                  <w:rFonts w:ascii="Cambria Math" w:hAnsi="Cambria Math" w:cstheme="minorBidi"/>
                                  <w:i/>
                                  <w:iCs/>
                                  <w:color w:val="000000" w:themeColor="text1"/>
                                  <w:kern w:val="24"/>
                                  <w:sz w:val="22"/>
                                  <w:szCs w:val="22"/>
                                  <w:lang w:val="es-AR"/>
                                </w:rPr>
                              </m:ctrlPr>
                            </m:fPr>
                            <m:num>
                              <m:sSub>
                                <m:sSubPr>
                                  <m:ctrlPr>
                                    <w:rPr>
                                      <w:rFonts w:ascii="Cambria Math" w:hAnsi="Cambria Math" w:cstheme="minorBidi"/>
                                      <w:i/>
                                      <w:iCs/>
                                      <w:color w:val="000000" w:themeColor="text1"/>
                                      <w:kern w:val="24"/>
                                      <w:sz w:val="22"/>
                                      <w:szCs w:val="22"/>
                                      <w:lang w:val="es-AR"/>
                                    </w:rPr>
                                  </m:ctrlPr>
                                </m:sSubPr>
                                <m:e>
                                  <m:r>
                                    <w:rPr>
                                      <w:rFonts w:ascii="Cambria Math" w:hAnsi="Cambria Math" w:cstheme="minorBidi"/>
                                      <w:color w:val="000000" w:themeColor="text1"/>
                                      <w:kern w:val="24"/>
                                      <w:sz w:val="22"/>
                                      <w:szCs w:val="22"/>
                                      <w:lang w:val="es-AR"/>
                                    </w:rPr>
                                    <m:t>PBG </m:t>
                                  </m:r>
                                </m:e>
                                <m:sub>
                                  <m:r>
                                    <w:rPr>
                                      <w:rFonts w:ascii="Cambria Math" w:hAnsi="Cambria Math" w:cstheme="minorBidi"/>
                                      <w:color w:val="000000" w:themeColor="text1"/>
                                      <w:kern w:val="24"/>
                                      <w:sz w:val="22"/>
                                      <w:szCs w:val="22"/>
                                      <w:lang w:val="es-AR"/>
                                    </w:rPr>
                                    <m:t>promedio</m:t>
                                  </m:r>
                                </m:sub>
                              </m:sSub>
                              <m:r>
                                <w:rPr>
                                  <w:rFonts w:ascii="Cambria Math" w:hAnsi="Cambria Math" w:cstheme="minorBidi"/>
                                  <w:color w:val="000000" w:themeColor="text1"/>
                                  <w:kern w:val="24"/>
                                  <w:sz w:val="22"/>
                                  <w:szCs w:val="22"/>
                                  <w:lang w:val="es-AR"/>
                                </w:rPr>
                                <m:t>*</m:t>
                              </m:r>
                              <m:sSub>
                                <m:sSubPr>
                                  <m:ctrlPr>
                                    <w:rPr>
                                      <w:rFonts w:ascii="Cambria Math" w:hAnsi="Cambria Math" w:cstheme="minorBidi"/>
                                      <w:i/>
                                      <w:iCs/>
                                      <w:color w:val="000000" w:themeColor="text1"/>
                                      <w:kern w:val="24"/>
                                      <w:sz w:val="22"/>
                                      <w:szCs w:val="22"/>
                                      <w:lang w:val="es-AR"/>
                                    </w:rPr>
                                  </m:ctrlPr>
                                </m:sSubPr>
                                <m:e>
                                  <m:r>
                                    <w:rPr>
                                      <w:rFonts w:ascii="Cambria Math" w:hAnsi="Cambria Math" w:cstheme="minorBidi"/>
                                      <w:color w:val="000000" w:themeColor="text1"/>
                                      <w:kern w:val="24"/>
                                      <w:sz w:val="22"/>
                                      <w:szCs w:val="22"/>
                                      <w:lang w:val="es-AR"/>
                                    </w:rPr>
                                    <m:t>t</m:t>
                                  </m:r>
                                </m:e>
                                <m:sub>
                                  <m:r>
                                    <w:rPr>
                                      <w:rFonts w:ascii="Cambria Math" w:hAnsi="Cambria Math" w:cstheme="minorBidi"/>
                                      <w:color w:val="000000" w:themeColor="text1"/>
                                      <w:kern w:val="24"/>
                                      <w:sz w:val="22"/>
                                      <w:szCs w:val="22"/>
                                      <w:lang w:val="es-AR"/>
                                    </w:rPr>
                                    <m:t>i</m:t>
                                  </m:r>
                                </m:sub>
                              </m:sSub>
                            </m:num>
                            <m:den>
                              <m:sSub>
                                <m:sSubPr>
                                  <m:ctrlPr>
                                    <w:rPr>
                                      <w:rFonts w:ascii="Cambria Math" w:hAnsi="Cambria Math" w:cstheme="minorBidi"/>
                                      <w:i/>
                                      <w:iCs/>
                                      <w:color w:val="000000" w:themeColor="text1"/>
                                      <w:kern w:val="24"/>
                                      <w:sz w:val="22"/>
                                      <w:szCs w:val="22"/>
                                      <w:lang w:val="es-AR"/>
                                    </w:rPr>
                                  </m:ctrlPr>
                                </m:sSubPr>
                                <m:e>
                                  <m:r>
                                    <w:rPr>
                                      <w:rFonts w:ascii="Cambria Math" w:hAnsi="Cambria Math" w:cstheme="minorBidi"/>
                                      <w:color w:val="000000" w:themeColor="text1"/>
                                      <w:kern w:val="24"/>
                                      <w:sz w:val="22"/>
                                      <w:szCs w:val="22"/>
                                      <w:lang w:val="es-AR"/>
                                    </w:rPr>
                                    <m:t>PBG </m:t>
                                  </m:r>
                                </m:e>
                                <m:sub>
                                  <m:r>
                                    <w:rPr>
                                      <w:rFonts w:ascii="Cambria Math" w:hAnsi="Cambria Math" w:cstheme="minorBidi"/>
                                      <w:color w:val="000000" w:themeColor="text1"/>
                                      <w:kern w:val="24"/>
                                      <w:sz w:val="22"/>
                                      <w:szCs w:val="22"/>
                                      <w:lang w:val="es-AR"/>
                                    </w:rPr>
                                    <m:t>promedio</m:t>
                                  </m:r>
                                </m:sub>
                              </m:sSub>
                              <m:r>
                                <w:rPr>
                                  <w:rFonts w:ascii="Cambria Math" w:hAnsi="Cambria Math" w:cstheme="minorBidi"/>
                                  <w:color w:val="000000" w:themeColor="text1"/>
                                  <w:kern w:val="24"/>
                                  <w:sz w:val="22"/>
                                  <w:szCs w:val="22"/>
                                  <w:lang w:val="es-AR"/>
                                </w:rPr>
                                <m:t>*</m:t>
                              </m:r>
                              <m:sSub>
                                <m:sSubPr>
                                  <m:ctrlPr>
                                    <w:rPr>
                                      <w:rFonts w:ascii="Cambria Math" w:hAnsi="Cambria Math" w:cstheme="minorBidi"/>
                                      <w:i/>
                                      <w:iCs/>
                                      <w:color w:val="000000" w:themeColor="text1"/>
                                      <w:kern w:val="24"/>
                                      <w:sz w:val="22"/>
                                      <w:szCs w:val="22"/>
                                      <w:lang w:val="es-AR"/>
                                    </w:rPr>
                                  </m:ctrlPr>
                                </m:sSubPr>
                                <m:e>
                                  <m:r>
                                    <w:rPr>
                                      <w:rFonts w:ascii="Cambria Math" w:hAnsi="Cambria Math" w:cstheme="minorBidi"/>
                                      <w:color w:val="000000" w:themeColor="text1"/>
                                      <w:kern w:val="24"/>
                                      <w:sz w:val="22"/>
                                      <w:szCs w:val="22"/>
                                      <w:lang w:val="es-AR"/>
                                    </w:rPr>
                                    <m:t>t</m:t>
                                  </m:r>
                                </m:e>
                                <m:sub>
                                  <m:r>
                                    <w:rPr>
                                      <w:rFonts w:ascii="Cambria Math" w:hAnsi="Cambria Math" w:cstheme="minorBidi"/>
                                      <w:color w:val="000000" w:themeColor="text1"/>
                                      <w:kern w:val="24"/>
                                      <w:sz w:val="22"/>
                                      <w:szCs w:val="22"/>
                                      <w:lang w:val="es-AR"/>
                                    </w:rPr>
                                    <m:t>promedio</m:t>
                                  </m:r>
                                </m:sub>
                              </m:sSub>
                            </m:den>
                          </m:f>
                        </m:oMath>
                      </m:oMathPara>
                    </w:p>
                  </w:txbxContent>
                </v:textbox>
                <w10:wrap anchorx="margin"/>
              </v:shape>
            </w:pict>
          </mc:Fallback>
        </mc:AlternateContent>
      </w:r>
    </w:p>
    <w:p w14:paraId="4039DCBF" w14:textId="7CD70EDD" w:rsidR="001B45C5" w:rsidRPr="004E10B7" w:rsidRDefault="001B45C5" w:rsidP="008B5D7F">
      <w:pPr>
        <w:spacing w:line="240" w:lineRule="auto"/>
        <w:rPr>
          <w:rFonts w:cstheme="minorHAnsi"/>
          <w:lang w:val="es-AR"/>
        </w:rPr>
      </w:pPr>
    </w:p>
    <w:p w14:paraId="06D6720B" w14:textId="6655FF48" w:rsidR="001B45C5" w:rsidRPr="004E10B7" w:rsidRDefault="001B45C5" w:rsidP="008B5D7F">
      <w:pPr>
        <w:spacing w:line="240" w:lineRule="auto"/>
        <w:rPr>
          <w:rFonts w:cstheme="minorHAnsi"/>
          <w:lang w:val="es-AR"/>
        </w:rPr>
      </w:pPr>
      <w:r w:rsidRPr="004E10B7">
        <w:rPr>
          <w:rFonts w:cstheme="minorHAnsi"/>
          <w:lang w:val="es-AR"/>
        </w:rPr>
        <w:t>Donde las tasas impositivas son las tasas implícitas de ingresos brutos dados por la recaudación de este impuesto y el PBG provincial, tal como se mencionó precedentemente.</w:t>
      </w:r>
    </w:p>
    <w:p w14:paraId="72333437" w14:textId="09170672" w:rsidR="00775A1A" w:rsidRPr="004E10B7" w:rsidRDefault="00C00EC5" w:rsidP="008B5D7F">
      <w:pPr>
        <w:pStyle w:val="Ttulo3"/>
        <w:numPr>
          <w:ilvl w:val="2"/>
          <w:numId w:val="33"/>
        </w:numPr>
        <w:ind w:left="0" w:firstLine="0"/>
        <w:rPr>
          <w:lang w:val="es-AR"/>
        </w:rPr>
      </w:pPr>
      <w:bookmarkStart w:id="4" w:name="_Toc491725412"/>
      <w:r w:rsidRPr="004E10B7">
        <w:rPr>
          <w:lang w:val="es-AR"/>
        </w:rPr>
        <w:t>R</w:t>
      </w:r>
      <w:r w:rsidR="00FD776F">
        <w:rPr>
          <w:lang w:val="es-AR"/>
        </w:rPr>
        <w:t>ESULTADOS</w:t>
      </w:r>
      <w:bookmarkEnd w:id="4"/>
    </w:p>
    <w:p w14:paraId="6A77D968" w14:textId="7D241223" w:rsidR="00464CE9" w:rsidRDefault="003C418A" w:rsidP="008B5D7F">
      <w:pPr>
        <w:spacing w:line="240" w:lineRule="auto"/>
        <w:rPr>
          <w:rFonts w:cstheme="minorHAnsi"/>
          <w:lang w:val="es-AR"/>
        </w:rPr>
      </w:pPr>
      <w:r w:rsidRPr="004E10B7">
        <w:rPr>
          <w:rFonts w:cstheme="minorHAnsi"/>
          <w:lang w:val="es-AR"/>
        </w:rPr>
        <w:t xml:space="preserve">A partir de los resultados obtenidos del cálculo de </w:t>
      </w:r>
      <w:r w:rsidR="00AF5D4B" w:rsidRPr="004E10B7">
        <w:rPr>
          <w:rFonts w:cstheme="minorHAnsi"/>
          <w:lang w:val="es-AR"/>
        </w:rPr>
        <w:t>la aproximación emp</w:t>
      </w:r>
      <w:r w:rsidRPr="004E10B7">
        <w:rPr>
          <w:rFonts w:cstheme="minorHAnsi"/>
          <w:lang w:val="es-AR"/>
        </w:rPr>
        <w:t xml:space="preserve">írica EF1 se observa que, al considerar la posición relativa de cada provincia </w:t>
      </w:r>
      <w:r w:rsidR="00C21A34" w:rsidRPr="004E10B7">
        <w:rPr>
          <w:rFonts w:cstheme="minorHAnsi"/>
          <w:lang w:val="es-AR"/>
        </w:rPr>
        <w:t>respecto del promedio anual de EF1, CABA y Buenos Aires se presentan por arriba del promedio en la totalidad de los años analizados (22). Por su parte Tierra del Fuego, Neuquén, Río Negro, Salta y Santa Fe también se encuentran por arriba del promedio anual de EF1 la mayoría de los años. Las provincias que presentaron durante los 22 años analizados un esfuerzo fiscal menor al promedio, según EF1, son Formosa, Jujuy</w:t>
      </w:r>
      <w:r w:rsidR="005D4702" w:rsidRPr="004E10B7">
        <w:rPr>
          <w:rFonts w:cstheme="minorHAnsi"/>
          <w:lang w:val="es-AR"/>
        </w:rPr>
        <w:t>, Corrientes</w:t>
      </w:r>
      <w:r w:rsidR="00C21A34" w:rsidRPr="004E10B7">
        <w:rPr>
          <w:rFonts w:cstheme="minorHAnsi"/>
          <w:lang w:val="es-AR"/>
        </w:rPr>
        <w:t xml:space="preserve"> y La Rioja. Por su parte, Chubut Catamarca, La Pampa y Santiago del Estero se encontraron por debajo del promedio anual la mayoría de los años analizados.</w:t>
      </w:r>
      <w:r w:rsidR="00464CE9">
        <w:rPr>
          <w:rFonts w:cstheme="minorHAnsi"/>
          <w:lang w:val="es-AR"/>
        </w:rPr>
        <w:br w:type="page"/>
      </w:r>
    </w:p>
    <w:p w14:paraId="460DAE5A" w14:textId="109A0921" w:rsidR="002C48BF" w:rsidRPr="00E95008" w:rsidRDefault="002C48BF" w:rsidP="008B5D7F">
      <w:pPr>
        <w:pStyle w:val="Prrafodelista"/>
        <w:numPr>
          <w:ilvl w:val="0"/>
          <w:numId w:val="5"/>
        </w:numPr>
        <w:spacing w:line="240" w:lineRule="auto"/>
        <w:rPr>
          <w:b/>
          <w:lang w:val="es-AR"/>
        </w:rPr>
      </w:pPr>
      <w:r w:rsidRPr="00E95008">
        <w:rPr>
          <w:b/>
          <w:lang w:val="es-MX"/>
        </w:rPr>
        <w:lastRenderedPageBreak/>
        <w:t>Cantidad de años en que cada provincia se encuentra por arriba y por debajo del promedio anual de esfuerzo fiscal en el periodo 1993-2014– EF1.</w:t>
      </w:r>
    </w:p>
    <w:p w14:paraId="5BD110E7" w14:textId="110015F8" w:rsidR="0018675B" w:rsidRDefault="002C48BF" w:rsidP="008B5D7F">
      <w:pPr>
        <w:spacing w:line="240" w:lineRule="auto"/>
        <w:jc w:val="center"/>
        <w:rPr>
          <w:lang w:val="es-MX"/>
        </w:rPr>
      </w:pPr>
      <w:r>
        <w:rPr>
          <w:noProof/>
          <w:lang w:val="es-AR" w:eastAsia="es-AR"/>
        </w:rPr>
        <w:drawing>
          <wp:inline distT="0" distB="0" distL="0" distR="0" wp14:anchorId="4B57804B" wp14:editId="61EBF6C1">
            <wp:extent cx="3954483" cy="2161309"/>
            <wp:effectExtent l="0" t="0" r="8255" b="10795"/>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DE455DB" w14:textId="1FF018A5" w:rsidR="000F565C" w:rsidRPr="004E10B7" w:rsidRDefault="007163AB" w:rsidP="008B5D7F">
      <w:pPr>
        <w:spacing w:line="240" w:lineRule="auto"/>
        <w:jc w:val="center"/>
        <w:rPr>
          <w:rFonts w:cstheme="minorHAnsi"/>
          <w:sz w:val="16"/>
          <w:szCs w:val="16"/>
          <w:lang w:val="es-AR"/>
        </w:rPr>
      </w:pPr>
      <w:r w:rsidRPr="004E10B7">
        <w:rPr>
          <w:rFonts w:cstheme="minorHAnsi"/>
          <w:sz w:val="16"/>
          <w:szCs w:val="16"/>
          <w:lang w:val="es-AR"/>
        </w:rPr>
        <w:t>Fuente: Elaboración propia.</w:t>
      </w:r>
    </w:p>
    <w:p w14:paraId="0A8E4F44" w14:textId="264CDC19" w:rsidR="002E4BE2" w:rsidRPr="004E10B7" w:rsidRDefault="00251440" w:rsidP="008B5D7F">
      <w:pPr>
        <w:spacing w:line="240" w:lineRule="auto"/>
        <w:rPr>
          <w:rFonts w:cstheme="minorHAnsi"/>
          <w:lang w:val="es-AR"/>
        </w:rPr>
      </w:pPr>
      <w:r w:rsidRPr="004E10B7">
        <w:rPr>
          <w:rFonts w:cstheme="minorHAnsi"/>
          <w:lang w:val="es-AR"/>
        </w:rPr>
        <w:t>Según los resultados de los cálculos de EF1 la provincia que presentó una mejora más grande</w:t>
      </w:r>
      <w:r w:rsidR="002E4BE2" w:rsidRPr="004E10B7">
        <w:rPr>
          <w:rFonts w:cstheme="minorHAnsi"/>
          <w:lang w:val="es-AR"/>
        </w:rPr>
        <w:t xml:space="preserve"> en su esfuerzo fiscal</w:t>
      </w:r>
      <w:r w:rsidRPr="004E10B7">
        <w:rPr>
          <w:rFonts w:cstheme="minorHAnsi"/>
          <w:lang w:val="es-AR"/>
        </w:rPr>
        <w:t xml:space="preserve"> desde 1993 a 2014 fue Misiones (97,3%), seguida por Tucumán y Chubut, con mejoras en igual periodo de 70,4% y 45,6% respectivamente.</w:t>
      </w:r>
      <w:r w:rsidR="002E4BE2" w:rsidRPr="004E10B7">
        <w:rPr>
          <w:rFonts w:cstheme="minorHAnsi"/>
          <w:lang w:val="es-AR"/>
        </w:rPr>
        <w:t xml:space="preserve"> La peor performance la tuvo Catamarca con una caída del 43,3%, seguida por Tierra del Fuego y La Pampa (-29,8% y -28,7% respectivamente).</w:t>
      </w:r>
    </w:p>
    <w:p w14:paraId="6BC73CFD" w14:textId="77777777" w:rsidR="00A43E2F" w:rsidRDefault="002E4BE2" w:rsidP="008B5D7F">
      <w:pPr>
        <w:spacing w:line="240" w:lineRule="auto"/>
        <w:rPr>
          <w:rFonts w:cstheme="minorHAnsi"/>
          <w:lang w:val="es-AR"/>
        </w:rPr>
      </w:pPr>
      <w:r w:rsidRPr="004E10B7">
        <w:rPr>
          <w:rFonts w:cstheme="minorHAnsi"/>
          <w:lang w:val="es-AR"/>
        </w:rPr>
        <w:t>La tasa de crecimiento promedio del esfuerzo fiscal medido a través de EF1 en el periodo 1993-2014 fue de 2,1%, encontrándose 9 provincias sobre este valor, y las 15 restantes por debajo.</w:t>
      </w:r>
    </w:p>
    <w:p w14:paraId="1C146DD4" w14:textId="77777777" w:rsidR="00A43E2F" w:rsidRPr="004E10B7" w:rsidRDefault="00A43E2F" w:rsidP="00A43E2F">
      <w:pPr>
        <w:spacing w:line="240" w:lineRule="auto"/>
        <w:rPr>
          <w:rFonts w:cstheme="minorHAnsi"/>
          <w:lang w:val="es-AR"/>
        </w:rPr>
      </w:pPr>
      <w:r w:rsidRPr="004E10B7">
        <w:rPr>
          <w:rFonts w:cstheme="minorHAnsi"/>
          <w:lang w:val="es-AR"/>
        </w:rPr>
        <w:t>En el año 2014 las provincias que presentan mayor EF, relativo entre ellas, son Misiones, Tucumán, CABA, Buenos Aires, Córdoba y Mendoza. Misiones pasó de ocupar un orden (por EF relativo) mediano en 1993 a ocupar el primer puesto, situación similar a la de Tucumán. Por su parte CABA se mantuvo en los primeros “órdenes” relativos de EF en todo el periodo analizado. Tanto Córdoba como Mendoza presentaron un empeoramiento relativo de su EF para mediados del periodo analizado (2004), logrando escalar algunos puestos para 2014. Cabe aclarar que los “órdenes” a los que se hace referencia en este capítulo lo que hacen es indicar la posición relativa de cada provincia respecto de las otras por cada año, considerando que el primer puesto (1) es ocupado por aquella que haya presentado un resultado mayor, ya sea de esfuerzo o capacidad fiscal.</w:t>
      </w:r>
    </w:p>
    <w:p w14:paraId="0376E5C6" w14:textId="77777777" w:rsidR="00A43E2F" w:rsidRDefault="00A43E2F" w:rsidP="008B5D7F">
      <w:pPr>
        <w:spacing w:line="240" w:lineRule="auto"/>
        <w:rPr>
          <w:rFonts w:cstheme="minorHAnsi"/>
          <w:lang w:val="es-AR"/>
        </w:rPr>
      </w:pPr>
    </w:p>
    <w:p w14:paraId="56934D4C" w14:textId="557BA507" w:rsidR="00A43E2F" w:rsidRDefault="00A43E2F" w:rsidP="008B5D7F">
      <w:pPr>
        <w:spacing w:line="240" w:lineRule="auto"/>
        <w:rPr>
          <w:rFonts w:cstheme="minorHAnsi"/>
          <w:lang w:val="es-AR"/>
        </w:rPr>
      </w:pPr>
      <w:r>
        <w:rPr>
          <w:rFonts w:cstheme="minorHAnsi"/>
          <w:lang w:val="es-AR"/>
        </w:rPr>
        <w:br w:type="page"/>
      </w:r>
    </w:p>
    <w:p w14:paraId="78979F4D" w14:textId="77777777" w:rsidR="002E4BE2" w:rsidRDefault="002E4BE2" w:rsidP="008B5D7F">
      <w:pPr>
        <w:spacing w:line="240" w:lineRule="auto"/>
        <w:rPr>
          <w:rFonts w:cstheme="minorHAnsi"/>
          <w:lang w:val="es-AR"/>
        </w:rPr>
      </w:pPr>
    </w:p>
    <w:p w14:paraId="1A4C232B" w14:textId="75F0D651" w:rsidR="00B64F00" w:rsidRPr="00E95008" w:rsidRDefault="00B64F00" w:rsidP="008B5D7F">
      <w:pPr>
        <w:pStyle w:val="Prrafodelista"/>
        <w:numPr>
          <w:ilvl w:val="0"/>
          <w:numId w:val="4"/>
        </w:numPr>
        <w:spacing w:line="240" w:lineRule="auto"/>
        <w:rPr>
          <w:b/>
          <w:lang w:val="es-MX"/>
        </w:rPr>
      </w:pPr>
      <w:r w:rsidRPr="00E95008">
        <w:rPr>
          <w:b/>
          <w:lang w:val="es-MX"/>
        </w:rPr>
        <w:t>EF por provincia y por año– EF1 (Valor e Índice Base 100=1993).</w:t>
      </w:r>
    </w:p>
    <w:tbl>
      <w:tblPr>
        <w:tblW w:w="6438" w:type="dxa"/>
        <w:jc w:val="center"/>
        <w:tblCellMar>
          <w:left w:w="70" w:type="dxa"/>
          <w:right w:w="70" w:type="dxa"/>
        </w:tblCellMar>
        <w:tblLook w:val="04A0" w:firstRow="1" w:lastRow="0" w:firstColumn="1" w:lastColumn="0" w:noHBand="0" w:noVBand="1"/>
      </w:tblPr>
      <w:tblGrid>
        <w:gridCol w:w="1218"/>
        <w:gridCol w:w="940"/>
        <w:gridCol w:w="940"/>
        <w:gridCol w:w="940"/>
        <w:gridCol w:w="1314"/>
        <w:gridCol w:w="1086"/>
      </w:tblGrid>
      <w:tr w:rsidR="004E10B7" w:rsidRPr="004E10B7" w14:paraId="4F00B0C5" w14:textId="77777777" w:rsidTr="00677B34">
        <w:trPr>
          <w:trHeight w:val="300"/>
          <w:jc w:val="center"/>
        </w:trPr>
        <w:tc>
          <w:tcPr>
            <w:tcW w:w="1218" w:type="dxa"/>
            <w:tcBorders>
              <w:top w:val="nil"/>
              <w:left w:val="nil"/>
              <w:bottom w:val="nil"/>
              <w:right w:val="nil"/>
            </w:tcBorders>
            <w:shd w:val="clear" w:color="000000" w:fill="FFFFFF"/>
            <w:noWrap/>
            <w:vAlign w:val="bottom"/>
            <w:hideMark/>
          </w:tcPr>
          <w:p w14:paraId="02262A2B" w14:textId="77777777" w:rsidR="00677B34" w:rsidRPr="004E10B7" w:rsidRDefault="00677B34"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 </w:t>
            </w:r>
          </w:p>
        </w:tc>
        <w:tc>
          <w:tcPr>
            <w:tcW w:w="282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2C5B43" w14:textId="77777777" w:rsidR="00677B34" w:rsidRPr="004E10B7" w:rsidRDefault="00677B34" w:rsidP="008B5D7F">
            <w:pPr>
              <w:spacing w:after="0" w:line="240" w:lineRule="auto"/>
              <w:ind w:firstLine="0"/>
              <w:jc w:val="center"/>
              <w:rPr>
                <w:rFonts w:ascii="Calibri" w:eastAsia="Times New Roman" w:hAnsi="Calibri" w:cs="Calibri"/>
                <w:lang w:val="es-AR" w:eastAsia="es-AR"/>
              </w:rPr>
            </w:pPr>
            <w:r w:rsidRPr="004E10B7">
              <w:rPr>
                <w:rFonts w:ascii="Calibri" w:eastAsia="Times New Roman" w:hAnsi="Calibri" w:cs="Calibri"/>
                <w:lang w:val="es-AR" w:eastAsia="es-AR"/>
              </w:rPr>
              <w:t>Valor</w:t>
            </w:r>
          </w:p>
        </w:tc>
        <w:tc>
          <w:tcPr>
            <w:tcW w:w="240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9B5D030" w14:textId="77777777" w:rsidR="00677B34" w:rsidRPr="004E10B7" w:rsidRDefault="00677B34" w:rsidP="008B5D7F">
            <w:pPr>
              <w:spacing w:after="0" w:line="240" w:lineRule="auto"/>
              <w:ind w:firstLine="0"/>
              <w:jc w:val="center"/>
              <w:rPr>
                <w:rFonts w:ascii="Calibri" w:eastAsia="Times New Roman" w:hAnsi="Calibri" w:cs="Calibri"/>
                <w:lang w:val="es-AR" w:eastAsia="es-AR"/>
              </w:rPr>
            </w:pPr>
            <w:r w:rsidRPr="004E10B7">
              <w:rPr>
                <w:rFonts w:ascii="Calibri" w:eastAsia="Times New Roman" w:hAnsi="Calibri" w:cs="Calibri"/>
                <w:lang w:val="es-AR" w:eastAsia="es-AR"/>
              </w:rPr>
              <w:t>Índice Base 100=1993</w:t>
            </w:r>
          </w:p>
        </w:tc>
      </w:tr>
      <w:tr w:rsidR="004E10B7" w:rsidRPr="004E10B7" w14:paraId="3C9A72F2" w14:textId="77777777" w:rsidTr="00677B34">
        <w:trPr>
          <w:trHeight w:val="300"/>
          <w:jc w:val="center"/>
        </w:trPr>
        <w:tc>
          <w:tcPr>
            <w:tcW w:w="1218" w:type="dxa"/>
            <w:tcBorders>
              <w:top w:val="nil"/>
              <w:left w:val="nil"/>
              <w:bottom w:val="nil"/>
              <w:right w:val="nil"/>
            </w:tcBorders>
            <w:shd w:val="clear" w:color="000000" w:fill="FFFFFF"/>
            <w:noWrap/>
            <w:vAlign w:val="bottom"/>
            <w:hideMark/>
          </w:tcPr>
          <w:p w14:paraId="688A637C" w14:textId="77777777" w:rsidR="00677B34" w:rsidRPr="004E10B7" w:rsidRDefault="00677B34" w:rsidP="008B5D7F">
            <w:pPr>
              <w:spacing w:after="0" w:line="240" w:lineRule="auto"/>
              <w:ind w:firstLine="0"/>
              <w:jc w:val="center"/>
              <w:rPr>
                <w:rFonts w:ascii="Calibri" w:eastAsia="Times New Roman" w:hAnsi="Calibri" w:cs="Calibri"/>
                <w:lang w:val="es-AR" w:eastAsia="es-AR"/>
              </w:rPr>
            </w:pPr>
            <w:r w:rsidRPr="004E10B7">
              <w:rPr>
                <w:rFonts w:ascii="Calibri" w:eastAsia="Times New Roman" w:hAnsi="Calibri" w:cs="Calibri"/>
                <w:lang w:val="es-AR" w:eastAsia="es-AR"/>
              </w:rPr>
              <w:t> </w:t>
            </w:r>
          </w:p>
        </w:tc>
        <w:tc>
          <w:tcPr>
            <w:tcW w:w="940" w:type="dxa"/>
            <w:tcBorders>
              <w:top w:val="nil"/>
              <w:left w:val="single" w:sz="4" w:space="0" w:color="auto"/>
              <w:bottom w:val="single" w:sz="4" w:space="0" w:color="auto"/>
              <w:right w:val="single" w:sz="4" w:space="0" w:color="auto"/>
            </w:tcBorders>
            <w:shd w:val="clear" w:color="000000" w:fill="FFFFFF"/>
            <w:noWrap/>
            <w:vAlign w:val="bottom"/>
            <w:hideMark/>
          </w:tcPr>
          <w:p w14:paraId="201777CC" w14:textId="77777777" w:rsidR="00677B34" w:rsidRPr="004E10B7" w:rsidRDefault="00677B34" w:rsidP="008B5D7F">
            <w:pPr>
              <w:spacing w:after="0" w:line="240" w:lineRule="auto"/>
              <w:ind w:firstLine="0"/>
              <w:jc w:val="center"/>
              <w:rPr>
                <w:rFonts w:ascii="Calibri" w:eastAsia="Times New Roman" w:hAnsi="Calibri" w:cs="Calibri"/>
                <w:lang w:val="es-AR" w:eastAsia="es-AR"/>
              </w:rPr>
            </w:pPr>
            <w:r w:rsidRPr="004E10B7">
              <w:rPr>
                <w:rFonts w:ascii="Calibri" w:eastAsia="Times New Roman" w:hAnsi="Calibri" w:cs="Calibri"/>
                <w:lang w:val="es-AR" w:eastAsia="es-AR"/>
              </w:rPr>
              <w:t>1993</w:t>
            </w:r>
          </w:p>
        </w:tc>
        <w:tc>
          <w:tcPr>
            <w:tcW w:w="940" w:type="dxa"/>
            <w:tcBorders>
              <w:top w:val="nil"/>
              <w:left w:val="nil"/>
              <w:bottom w:val="single" w:sz="4" w:space="0" w:color="auto"/>
              <w:right w:val="single" w:sz="4" w:space="0" w:color="auto"/>
            </w:tcBorders>
            <w:shd w:val="clear" w:color="000000" w:fill="FFFFFF"/>
            <w:noWrap/>
            <w:vAlign w:val="bottom"/>
            <w:hideMark/>
          </w:tcPr>
          <w:p w14:paraId="3F5B883A" w14:textId="77777777" w:rsidR="00677B34" w:rsidRPr="004E10B7" w:rsidRDefault="00677B34" w:rsidP="008B5D7F">
            <w:pPr>
              <w:spacing w:after="0" w:line="240" w:lineRule="auto"/>
              <w:ind w:firstLine="0"/>
              <w:jc w:val="center"/>
              <w:rPr>
                <w:rFonts w:ascii="Calibri" w:eastAsia="Times New Roman" w:hAnsi="Calibri" w:cs="Calibri"/>
                <w:lang w:val="es-AR" w:eastAsia="es-AR"/>
              </w:rPr>
            </w:pPr>
            <w:r w:rsidRPr="004E10B7">
              <w:rPr>
                <w:rFonts w:ascii="Calibri" w:eastAsia="Times New Roman" w:hAnsi="Calibri" w:cs="Calibri"/>
                <w:lang w:val="es-AR" w:eastAsia="es-AR"/>
              </w:rPr>
              <w:t>2004</w:t>
            </w:r>
          </w:p>
        </w:tc>
        <w:tc>
          <w:tcPr>
            <w:tcW w:w="940" w:type="dxa"/>
            <w:tcBorders>
              <w:top w:val="nil"/>
              <w:left w:val="nil"/>
              <w:bottom w:val="single" w:sz="4" w:space="0" w:color="auto"/>
              <w:right w:val="single" w:sz="4" w:space="0" w:color="auto"/>
            </w:tcBorders>
            <w:shd w:val="clear" w:color="000000" w:fill="FFFFFF"/>
            <w:noWrap/>
            <w:vAlign w:val="bottom"/>
            <w:hideMark/>
          </w:tcPr>
          <w:p w14:paraId="3585FEF9" w14:textId="77777777" w:rsidR="00677B34" w:rsidRPr="004E10B7" w:rsidRDefault="00677B34" w:rsidP="008B5D7F">
            <w:pPr>
              <w:spacing w:after="0" w:line="240" w:lineRule="auto"/>
              <w:ind w:firstLine="0"/>
              <w:jc w:val="center"/>
              <w:rPr>
                <w:rFonts w:ascii="Calibri" w:eastAsia="Times New Roman" w:hAnsi="Calibri" w:cs="Calibri"/>
                <w:lang w:val="es-AR" w:eastAsia="es-AR"/>
              </w:rPr>
            </w:pPr>
            <w:r w:rsidRPr="004E10B7">
              <w:rPr>
                <w:rFonts w:ascii="Calibri" w:eastAsia="Times New Roman" w:hAnsi="Calibri" w:cs="Calibri"/>
                <w:lang w:val="es-AR" w:eastAsia="es-AR"/>
              </w:rPr>
              <w:t>2014</w:t>
            </w:r>
          </w:p>
        </w:tc>
        <w:tc>
          <w:tcPr>
            <w:tcW w:w="1314" w:type="dxa"/>
            <w:tcBorders>
              <w:top w:val="nil"/>
              <w:left w:val="nil"/>
              <w:bottom w:val="single" w:sz="4" w:space="0" w:color="auto"/>
              <w:right w:val="single" w:sz="4" w:space="0" w:color="auto"/>
            </w:tcBorders>
            <w:shd w:val="clear" w:color="000000" w:fill="FFFFFF"/>
            <w:noWrap/>
            <w:vAlign w:val="bottom"/>
            <w:hideMark/>
          </w:tcPr>
          <w:p w14:paraId="7093717E" w14:textId="77777777" w:rsidR="00677B34" w:rsidRPr="004E10B7" w:rsidRDefault="00677B34" w:rsidP="008B5D7F">
            <w:pPr>
              <w:spacing w:after="0" w:line="240" w:lineRule="auto"/>
              <w:ind w:firstLine="0"/>
              <w:jc w:val="center"/>
              <w:rPr>
                <w:rFonts w:ascii="Calibri" w:eastAsia="Times New Roman" w:hAnsi="Calibri" w:cs="Calibri"/>
                <w:lang w:val="es-AR" w:eastAsia="es-AR"/>
              </w:rPr>
            </w:pPr>
            <w:r w:rsidRPr="004E10B7">
              <w:rPr>
                <w:rFonts w:ascii="Calibri" w:eastAsia="Times New Roman" w:hAnsi="Calibri" w:cs="Calibri"/>
                <w:lang w:val="es-AR" w:eastAsia="es-AR"/>
              </w:rPr>
              <w:t>2004</w:t>
            </w:r>
          </w:p>
        </w:tc>
        <w:tc>
          <w:tcPr>
            <w:tcW w:w="1086" w:type="dxa"/>
            <w:tcBorders>
              <w:top w:val="nil"/>
              <w:left w:val="nil"/>
              <w:bottom w:val="single" w:sz="4" w:space="0" w:color="auto"/>
              <w:right w:val="single" w:sz="4" w:space="0" w:color="auto"/>
            </w:tcBorders>
            <w:shd w:val="clear" w:color="000000" w:fill="FFFFFF"/>
            <w:noWrap/>
            <w:vAlign w:val="bottom"/>
            <w:hideMark/>
          </w:tcPr>
          <w:p w14:paraId="6375E336" w14:textId="77777777" w:rsidR="00677B34" w:rsidRPr="004E10B7" w:rsidRDefault="00677B34" w:rsidP="008B5D7F">
            <w:pPr>
              <w:spacing w:after="0" w:line="240" w:lineRule="auto"/>
              <w:ind w:firstLine="0"/>
              <w:jc w:val="center"/>
              <w:rPr>
                <w:rFonts w:ascii="Calibri" w:eastAsia="Times New Roman" w:hAnsi="Calibri" w:cs="Calibri"/>
                <w:lang w:val="es-AR" w:eastAsia="es-AR"/>
              </w:rPr>
            </w:pPr>
            <w:r w:rsidRPr="004E10B7">
              <w:rPr>
                <w:rFonts w:ascii="Calibri" w:eastAsia="Times New Roman" w:hAnsi="Calibri" w:cs="Calibri"/>
                <w:lang w:val="es-AR" w:eastAsia="es-AR"/>
              </w:rPr>
              <w:t>2014</w:t>
            </w:r>
          </w:p>
        </w:tc>
      </w:tr>
      <w:tr w:rsidR="004E10B7" w:rsidRPr="004E10B7" w14:paraId="7CE96B3C" w14:textId="77777777" w:rsidTr="00677B34">
        <w:trPr>
          <w:trHeight w:val="300"/>
          <w:jc w:val="center"/>
        </w:trPr>
        <w:tc>
          <w:tcPr>
            <w:tcW w:w="12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389013" w14:textId="77777777" w:rsidR="00677B34" w:rsidRPr="004E10B7" w:rsidRDefault="00677B34" w:rsidP="008B5D7F">
            <w:pPr>
              <w:spacing w:after="0" w:line="240" w:lineRule="auto"/>
              <w:ind w:firstLine="0"/>
              <w:jc w:val="center"/>
              <w:rPr>
                <w:rFonts w:ascii="Calibri" w:eastAsia="Times New Roman" w:hAnsi="Calibri" w:cs="Calibri"/>
                <w:lang w:val="es-AR" w:eastAsia="es-AR"/>
              </w:rPr>
            </w:pPr>
            <w:r w:rsidRPr="004E10B7">
              <w:rPr>
                <w:rFonts w:ascii="Calibri" w:eastAsia="Times New Roman" w:hAnsi="Calibri" w:cs="Calibri"/>
                <w:lang w:val="es-AR" w:eastAsia="es-AR"/>
              </w:rPr>
              <w:t>CABA</w:t>
            </w:r>
          </w:p>
        </w:tc>
        <w:tc>
          <w:tcPr>
            <w:tcW w:w="940" w:type="dxa"/>
            <w:tcBorders>
              <w:top w:val="nil"/>
              <w:left w:val="nil"/>
              <w:bottom w:val="single" w:sz="4" w:space="0" w:color="auto"/>
              <w:right w:val="single" w:sz="4" w:space="0" w:color="auto"/>
            </w:tcBorders>
            <w:shd w:val="clear" w:color="000000" w:fill="FFFFFF"/>
            <w:noWrap/>
            <w:vAlign w:val="bottom"/>
            <w:hideMark/>
          </w:tcPr>
          <w:p w14:paraId="70FBDA6D"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1,68</w:t>
            </w:r>
          </w:p>
        </w:tc>
        <w:tc>
          <w:tcPr>
            <w:tcW w:w="940" w:type="dxa"/>
            <w:tcBorders>
              <w:top w:val="nil"/>
              <w:left w:val="nil"/>
              <w:bottom w:val="single" w:sz="4" w:space="0" w:color="auto"/>
              <w:right w:val="single" w:sz="4" w:space="0" w:color="auto"/>
            </w:tcBorders>
            <w:shd w:val="clear" w:color="000000" w:fill="FFFFFF"/>
            <w:noWrap/>
            <w:vAlign w:val="bottom"/>
            <w:hideMark/>
          </w:tcPr>
          <w:p w14:paraId="08F78A47"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1,40</w:t>
            </w:r>
          </w:p>
        </w:tc>
        <w:tc>
          <w:tcPr>
            <w:tcW w:w="940" w:type="dxa"/>
            <w:tcBorders>
              <w:top w:val="nil"/>
              <w:left w:val="nil"/>
              <w:bottom w:val="single" w:sz="4" w:space="0" w:color="auto"/>
              <w:right w:val="single" w:sz="4" w:space="0" w:color="auto"/>
            </w:tcBorders>
            <w:shd w:val="clear" w:color="000000" w:fill="FFFFFF"/>
            <w:noWrap/>
            <w:vAlign w:val="bottom"/>
            <w:hideMark/>
          </w:tcPr>
          <w:p w14:paraId="1B8070E1"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1,24</w:t>
            </w:r>
          </w:p>
        </w:tc>
        <w:tc>
          <w:tcPr>
            <w:tcW w:w="1314" w:type="dxa"/>
            <w:tcBorders>
              <w:top w:val="nil"/>
              <w:left w:val="nil"/>
              <w:bottom w:val="single" w:sz="4" w:space="0" w:color="auto"/>
              <w:right w:val="single" w:sz="4" w:space="0" w:color="auto"/>
            </w:tcBorders>
            <w:shd w:val="clear" w:color="000000" w:fill="FFFFFF"/>
            <w:noWrap/>
            <w:vAlign w:val="bottom"/>
            <w:hideMark/>
          </w:tcPr>
          <w:p w14:paraId="29772C39"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83,17</w:t>
            </w:r>
          </w:p>
        </w:tc>
        <w:tc>
          <w:tcPr>
            <w:tcW w:w="1086" w:type="dxa"/>
            <w:tcBorders>
              <w:top w:val="nil"/>
              <w:left w:val="nil"/>
              <w:bottom w:val="single" w:sz="4" w:space="0" w:color="auto"/>
              <w:right w:val="single" w:sz="4" w:space="0" w:color="auto"/>
            </w:tcBorders>
            <w:shd w:val="clear" w:color="000000" w:fill="FFFFFF"/>
            <w:noWrap/>
            <w:vAlign w:val="bottom"/>
            <w:hideMark/>
          </w:tcPr>
          <w:p w14:paraId="5BE8614B"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73,9</w:t>
            </w:r>
          </w:p>
        </w:tc>
      </w:tr>
      <w:tr w:rsidR="004E10B7" w:rsidRPr="004E10B7" w14:paraId="13F179D7" w14:textId="77777777" w:rsidTr="00677B34">
        <w:trPr>
          <w:trHeight w:val="300"/>
          <w:jc w:val="center"/>
        </w:trPr>
        <w:tc>
          <w:tcPr>
            <w:tcW w:w="1218" w:type="dxa"/>
            <w:tcBorders>
              <w:top w:val="nil"/>
              <w:left w:val="single" w:sz="4" w:space="0" w:color="auto"/>
              <w:bottom w:val="single" w:sz="4" w:space="0" w:color="auto"/>
              <w:right w:val="single" w:sz="4" w:space="0" w:color="auto"/>
            </w:tcBorders>
            <w:shd w:val="clear" w:color="000000" w:fill="FFFFFF"/>
            <w:noWrap/>
            <w:vAlign w:val="bottom"/>
            <w:hideMark/>
          </w:tcPr>
          <w:p w14:paraId="21C3D9B4" w14:textId="77777777" w:rsidR="00677B34" w:rsidRPr="004E10B7" w:rsidRDefault="00677B34" w:rsidP="008B5D7F">
            <w:pPr>
              <w:spacing w:after="0" w:line="240" w:lineRule="auto"/>
              <w:ind w:firstLine="0"/>
              <w:jc w:val="center"/>
              <w:rPr>
                <w:rFonts w:ascii="Calibri" w:eastAsia="Times New Roman" w:hAnsi="Calibri" w:cs="Calibri"/>
                <w:lang w:val="es-AR" w:eastAsia="es-AR"/>
              </w:rPr>
            </w:pPr>
            <w:r w:rsidRPr="004E10B7">
              <w:rPr>
                <w:rFonts w:ascii="Calibri" w:eastAsia="Times New Roman" w:hAnsi="Calibri" w:cs="Calibri"/>
                <w:lang w:val="es-AR" w:eastAsia="es-AR"/>
              </w:rPr>
              <w:t>Bs As</w:t>
            </w:r>
          </w:p>
        </w:tc>
        <w:tc>
          <w:tcPr>
            <w:tcW w:w="940" w:type="dxa"/>
            <w:tcBorders>
              <w:top w:val="nil"/>
              <w:left w:val="nil"/>
              <w:bottom w:val="single" w:sz="4" w:space="0" w:color="auto"/>
              <w:right w:val="single" w:sz="4" w:space="0" w:color="auto"/>
            </w:tcBorders>
            <w:shd w:val="clear" w:color="000000" w:fill="FFFFFF"/>
            <w:noWrap/>
            <w:vAlign w:val="bottom"/>
            <w:hideMark/>
          </w:tcPr>
          <w:p w14:paraId="7183A06F"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1,06</w:t>
            </w:r>
          </w:p>
        </w:tc>
        <w:tc>
          <w:tcPr>
            <w:tcW w:w="940" w:type="dxa"/>
            <w:tcBorders>
              <w:top w:val="nil"/>
              <w:left w:val="nil"/>
              <w:bottom w:val="single" w:sz="4" w:space="0" w:color="auto"/>
              <w:right w:val="single" w:sz="4" w:space="0" w:color="auto"/>
            </w:tcBorders>
            <w:shd w:val="clear" w:color="000000" w:fill="FFFFFF"/>
            <w:noWrap/>
            <w:vAlign w:val="bottom"/>
            <w:hideMark/>
          </w:tcPr>
          <w:p w14:paraId="61AEBE8E"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1,22</w:t>
            </w:r>
          </w:p>
        </w:tc>
        <w:tc>
          <w:tcPr>
            <w:tcW w:w="940" w:type="dxa"/>
            <w:tcBorders>
              <w:top w:val="nil"/>
              <w:left w:val="nil"/>
              <w:bottom w:val="single" w:sz="4" w:space="0" w:color="auto"/>
              <w:right w:val="single" w:sz="4" w:space="0" w:color="auto"/>
            </w:tcBorders>
            <w:shd w:val="clear" w:color="000000" w:fill="FFFFFF"/>
            <w:noWrap/>
            <w:vAlign w:val="bottom"/>
            <w:hideMark/>
          </w:tcPr>
          <w:p w14:paraId="07D12DB9"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1,23</w:t>
            </w:r>
          </w:p>
        </w:tc>
        <w:tc>
          <w:tcPr>
            <w:tcW w:w="1314" w:type="dxa"/>
            <w:tcBorders>
              <w:top w:val="nil"/>
              <w:left w:val="nil"/>
              <w:bottom w:val="single" w:sz="4" w:space="0" w:color="auto"/>
              <w:right w:val="single" w:sz="4" w:space="0" w:color="auto"/>
            </w:tcBorders>
            <w:shd w:val="clear" w:color="000000" w:fill="FFFFFF"/>
            <w:noWrap/>
            <w:vAlign w:val="bottom"/>
            <w:hideMark/>
          </w:tcPr>
          <w:p w14:paraId="7ED3C767"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114,62</w:t>
            </w:r>
          </w:p>
        </w:tc>
        <w:tc>
          <w:tcPr>
            <w:tcW w:w="1086" w:type="dxa"/>
            <w:tcBorders>
              <w:top w:val="nil"/>
              <w:left w:val="nil"/>
              <w:bottom w:val="single" w:sz="4" w:space="0" w:color="auto"/>
              <w:right w:val="single" w:sz="4" w:space="0" w:color="auto"/>
            </w:tcBorders>
            <w:shd w:val="clear" w:color="000000" w:fill="FFFFFF"/>
            <w:noWrap/>
            <w:vAlign w:val="bottom"/>
            <w:hideMark/>
          </w:tcPr>
          <w:p w14:paraId="1D95B946"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116,2</w:t>
            </w:r>
          </w:p>
        </w:tc>
      </w:tr>
      <w:tr w:rsidR="004E10B7" w:rsidRPr="004E10B7" w14:paraId="1579CEFD" w14:textId="77777777" w:rsidTr="00677B34">
        <w:trPr>
          <w:trHeight w:val="300"/>
          <w:jc w:val="center"/>
        </w:trPr>
        <w:tc>
          <w:tcPr>
            <w:tcW w:w="1218" w:type="dxa"/>
            <w:tcBorders>
              <w:top w:val="nil"/>
              <w:left w:val="single" w:sz="4" w:space="0" w:color="auto"/>
              <w:bottom w:val="single" w:sz="4" w:space="0" w:color="auto"/>
              <w:right w:val="single" w:sz="4" w:space="0" w:color="auto"/>
            </w:tcBorders>
            <w:shd w:val="clear" w:color="000000" w:fill="FFFFFF"/>
            <w:noWrap/>
            <w:vAlign w:val="bottom"/>
            <w:hideMark/>
          </w:tcPr>
          <w:p w14:paraId="31DBE48E" w14:textId="77777777" w:rsidR="00677B34" w:rsidRPr="004E10B7" w:rsidRDefault="00677B34" w:rsidP="008B5D7F">
            <w:pPr>
              <w:spacing w:after="0" w:line="240" w:lineRule="auto"/>
              <w:ind w:firstLine="0"/>
              <w:jc w:val="center"/>
              <w:rPr>
                <w:rFonts w:ascii="Calibri" w:eastAsia="Times New Roman" w:hAnsi="Calibri" w:cs="Calibri"/>
                <w:lang w:val="es-AR" w:eastAsia="es-AR"/>
              </w:rPr>
            </w:pPr>
            <w:r w:rsidRPr="004E10B7">
              <w:rPr>
                <w:rFonts w:ascii="Calibri" w:eastAsia="Times New Roman" w:hAnsi="Calibri" w:cs="Calibri"/>
                <w:lang w:val="es-AR" w:eastAsia="es-AR"/>
              </w:rPr>
              <w:t>Catam.</w:t>
            </w:r>
          </w:p>
        </w:tc>
        <w:tc>
          <w:tcPr>
            <w:tcW w:w="940" w:type="dxa"/>
            <w:tcBorders>
              <w:top w:val="nil"/>
              <w:left w:val="nil"/>
              <w:bottom w:val="single" w:sz="4" w:space="0" w:color="auto"/>
              <w:right w:val="single" w:sz="4" w:space="0" w:color="auto"/>
            </w:tcBorders>
            <w:shd w:val="clear" w:color="000000" w:fill="FFFFFF"/>
            <w:noWrap/>
            <w:vAlign w:val="bottom"/>
            <w:hideMark/>
          </w:tcPr>
          <w:p w14:paraId="5BDBDEF2"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0,65</w:t>
            </w:r>
          </w:p>
        </w:tc>
        <w:tc>
          <w:tcPr>
            <w:tcW w:w="940" w:type="dxa"/>
            <w:tcBorders>
              <w:top w:val="nil"/>
              <w:left w:val="nil"/>
              <w:bottom w:val="single" w:sz="4" w:space="0" w:color="auto"/>
              <w:right w:val="single" w:sz="4" w:space="0" w:color="auto"/>
            </w:tcBorders>
            <w:shd w:val="clear" w:color="000000" w:fill="FFFFFF"/>
            <w:noWrap/>
            <w:vAlign w:val="bottom"/>
            <w:hideMark/>
          </w:tcPr>
          <w:p w14:paraId="1D04CF12"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0,43</w:t>
            </w:r>
          </w:p>
        </w:tc>
        <w:tc>
          <w:tcPr>
            <w:tcW w:w="940" w:type="dxa"/>
            <w:tcBorders>
              <w:top w:val="nil"/>
              <w:left w:val="nil"/>
              <w:bottom w:val="single" w:sz="4" w:space="0" w:color="auto"/>
              <w:right w:val="single" w:sz="4" w:space="0" w:color="auto"/>
            </w:tcBorders>
            <w:shd w:val="clear" w:color="000000" w:fill="FFFFFF"/>
            <w:noWrap/>
            <w:vAlign w:val="bottom"/>
            <w:hideMark/>
          </w:tcPr>
          <w:p w14:paraId="5C88A141"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0,37</w:t>
            </w:r>
          </w:p>
        </w:tc>
        <w:tc>
          <w:tcPr>
            <w:tcW w:w="1314" w:type="dxa"/>
            <w:tcBorders>
              <w:top w:val="nil"/>
              <w:left w:val="nil"/>
              <w:bottom w:val="single" w:sz="4" w:space="0" w:color="auto"/>
              <w:right w:val="single" w:sz="4" w:space="0" w:color="auto"/>
            </w:tcBorders>
            <w:shd w:val="clear" w:color="000000" w:fill="FFFFFF"/>
            <w:noWrap/>
            <w:vAlign w:val="bottom"/>
            <w:hideMark/>
          </w:tcPr>
          <w:p w14:paraId="009F31E7"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66,44</w:t>
            </w:r>
          </w:p>
        </w:tc>
        <w:tc>
          <w:tcPr>
            <w:tcW w:w="1086" w:type="dxa"/>
            <w:tcBorders>
              <w:top w:val="nil"/>
              <w:left w:val="nil"/>
              <w:bottom w:val="single" w:sz="4" w:space="0" w:color="auto"/>
              <w:right w:val="single" w:sz="4" w:space="0" w:color="auto"/>
            </w:tcBorders>
            <w:shd w:val="clear" w:color="000000" w:fill="FFFFFF"/>
            <w:noWrap/>
            <w:vAlign w:val="bottom"/>
            <w:hideMark/>
          </w:tcPr>
          <w:p w14:paraId="764A24FC"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56,7</w:t>
            </w:r>
          </w:p>
        </w:tc>
      </w:tr>
      <w:tr w:rsidR="004E10B7" w:rsidRPr="004E10B7" w14:paraId="23686EA0" w14:textId="77777777" w:rsidTr="00677B34">
        <w:trPr>
          <w:trHeight w:val="300"/>
          <w:jc w:val="center"/>
        </w:trPr>
        <w:tc>
          <w:tcPr>
            <w:tcW w:w="1218" w:type="dxa"/>
            <w:tcBorders>
              <w:top w:val="nil"/>
              <w:left w:val="single" w:sz="4" w:space="0" w:color="auto"/>
              <w:bottom w:val="single" w:sz="4" w:space="0" w:color="auto"/>
              <w:right w:val="single" w:sz="4" w:space="0" w:color="auto"/>
            </w:tcBorders>
            <w:shd w:val="clear" w:color="000000" w:fill="FFFFFF"/>
            <w:noWrap/>
            <w:vAlign w:val="bottom"/>
            <w:hideMark/>
          </w:tcPr>
          <w:p w14:paraId="7D066D17" w14:textId="77777777" w:rsidR="00677B34" w:rsidRPr="004E10B7" w:rsidRDefault="00677B34" w:rsidP="008B5D7F">
            <w:pPr>
              <w:spacing w:after="0" w:line="240" w:lineRule="auto"/>
              <w:ind w:firstLine="0"/>
              <w:jc w:val="center"/>
              <w:rPr>
                <w:rFonts w:ascii="Calibri" w:eastAsia="Times New Roman" w:hAnsi="Calibri" w:cs="Calibri"/>
                <w:lang w:val="es-AR" w:eastAsia="es-AR"/>
              </w:rPr>
            </w:pPr>
            <w:r w:rsidRPr="004E10B7">
              <w:rPr>
                <w:rFonts w:ascii="Calibri" w:eastAsia="Times New Roman" w:hAnsi="Calibri" w:cs="Calibri"/>
                <w:lang w:val="es-AR" w:eastAsia="es-AR"/>
              </w:rPr>
              <w:t>Cba</w:t>
            </w:r>
          </w:p>
        </w:tc>
        <w:tc>
          <w:tcPr>
            <w:tcW w:w="940" w:type="dxa"/>
            <w:tcBorders>
              <w:top w:val="nil"/>
              <w:left w:val="nil"/>
              <w:bottom w:val="single" w:sz="4" w:space="0" w:color="auto"/>
              <w:right w:val="single" w:sz="4" w:space="0" w:color="auto"/>
            </w:tcBorders>
            <w:shd w:val="clear" w:color="000000" w:fill="FFFFFF"/>
            <w:noWrap/>
            <w:vAlign w:val="bottom"/>
            <w:hideMark/>
          </w:tcPr>
          <w:p w14:paraId="7A93F97F"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1,30</w:t>
            </w:r>
          </w:p>
        </w:tc>
        <w:tc>
          <w:tcPr>
            <w:tcW w:w="940" w:type="dxa"/>
            <w:tcBorders>
              <w:top w:val="nil"/>
              <w:left w:val="nil"/>
              <w:bottom w:val="single" w:sz="4" w:space="0" w:color="auto"/>
              <w:right w:val="single" w:sz="4" w:space="0" w:color="auto"/>
            </w:tcBorders>
            <w:shd w:val="clear" w:color="000000" w:fill="FFFFFF"/>
            <w:noWrap/>
            <w:vAlign w:val="bottom"/>
            <w:hideMark/>
          </w:tcPr>
          <w:p w14:paraId="19D77DF1"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0,96</w:t>
            </w:r>
          </w:p>
        </w:tc>
        <w:tc>
          <w:tcPr>
            <w:tcW w:w="940" w:type="dxa"/>
            <w:tcBorders>
              <w:top w:val="nil"/>
              <w:left w:val="nil"/>
              <w:bottom w:val="single" w:sz="4" w:space="0" w:color="auto"/>
              <w:right w:val="single" w:sz="4" w:space="0" w:color="auto"/>
            </w:tcBorders>
            <w:shd w:val="clear" w:color="000000" w:fill="FFFFFF"/>
            <w:noWrap/>
            <w:vAlign w:val="bottom"/>
            <w:hideMark/>
          </w:tcPr>
          <w:p w14:paraId="7B074350"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1,17</w:t>
            </w:r>
          </w:p>
        </w:tc>
        <w:tc>
          <w:tcPr>
            <w:tcW w:w="1314" w:type="dxa"/>
            <w:tcBorders>
              <w:top w:val="nil"/>
              <w:left w:val="nil"/>
              <w:bottom w:val="single" w:sz="4" w:space="0" w:color="auto"/>
              <w:right w:val="single" w:sz="4" w:space="0" w:color="auto"/>
            </w:tcBorders>
            <w:shd w:val="clear" w:color="000000" w:fill="FFFFFF"/>
            <w:noWrap/>
            <w:vAlign w:val="bottom"/>
            <w:hideMark/>
          </w:tcPr>
          <w:p w14:paraId="60AE602D"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73,86</w:t>
            </w:r>
          </w:p>
        </w:tc>
        <w:tc>
          <w:tcPr>
            <w:tcW w:w="1086" w:type="dxa"/>
            <w:tcBorders>
              <w:top w:val="nil"/>
              <w:left w:val="nil"/>
              <w:bottom w:val="single" w:sz="4" w:space="0" w:color="auto"/>
              <w:right w:val="single" w:sz="4" w:space="0" w:color="auto"/>
            </w:tcBorders>
            <w:shd w:val="clear" w:color="000000" w:fill="FFFFFF"/>
            <w:noWrap/>
            <w:vAlign w:val="bottom"/>
            <w:hideMark/>
          </w:tcPr>
          <w:p w14:paraId="1CAC91F7"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90,4</w:t>
            </w:r>
          </w:p>
        </w:tc>
      </w:tr>
      <w:tr w:rsidR="004E10B7" w:rsidRPr="004E10B7" w14:paraId="2DFC78D9" w14:textId="77777777" w:rsidTr="00677B34">
        <w:trPr>
          <w:trHeight w:val="300"/>
          <w:jc w:val="center"/>
        </w:trPr>
        <w:tc>
          <w:tcPr>
            <w:tcW w:w="1218" w:type="dxa"/>
            <w:tcBorders>
              <w:top w:val="nil"/>
              <w:left w:val="single" w:sz="4" w:space="0" w:color="auto"/>
              <w:bottom w:val="single" w:sz="4" w:space="0" w:color="auto"/>
              <w:right w:val="single" w:sz="4" w:space="0" w:color="auto"/>
            </w:tcBorders>
            <w:shd w:val="clear" w:color="000000" w:fill="FFFFFF"/>
            <w:noWrap/>
            <w:vAlign w:val="bottom"/>
            <w:hideMark/>
          </w:tcPr>
          <w:p w14:paraId="7868A4F2" w14:textId="77777777" w:rsidR="00677B34" w:rsidRPr="004E10B7" w:rsidRDefault="00677B34" w:rsidP="008B5D7F">
            <w:pPr>
              <w:spacing w:after="0" w:line="240" w:lineRule="auto"/>
              <w:ind w:firstLine="0"/>
              <w:jc w:val="center"/>
              <w:rPr>
                <w:rFonts w:ascii="Calibri" w:eastAsia="Times New Roman" w:hAnsi="Calibri" w:cs="Calibri"/>
                <w:lang w:val="es-AR" w:eastAsia="es-AR"/>
              </w:rPr>
            </w:pPr>
            <w:r w:rsidRPr="004E10B7">
              <w:rPr>
                <w:rFonts w:ascii="Calibri" w:eastAsia="Times New Roman" w:hAnsi="Calibri" w:cs="Calibri"/>
                <w:lang w:val="es-AR" w:eastAsia="es-AR"/>
              </w:rPr>
              <w:t>Corri.</w:t>
            </w:r>
          </w:p>
        </w:tc>
        <w:tc>
          <w:tcPr>
            <w:tcW w:w="940" w:type="dxa"/>
            <w:tcBorders>
              <w:top w:val="nil"/>
              <w:left w:val="nil"/>
              <w:bottom w:val="single" w:sz="4" w:space="0" w:color="auto"/>
              <w:right w:val="single" w:sz="4" w:space="0" w:color="auto"/>
            </w:tcBorders>
            <w:shd w:val="clear" w:color="000000" w:fill="FFFFFF"/>
            <w:noWrap/>
            <w:vAlign w:val="bottom"/>
            <w:hideMark/>
          </w:tcPr>
          <w:p w14:paraId="618CDA4A"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0,85</w:t>
            </w:r>
          </w:p>
        </w:tc>
        <w:tc>
          <w:tcPr>
            <w:tcW w:w="940" w:type="dxa"/>
            <w:tcBorders>
              <w:top w:val="nil"/>
              <w:left w:val="nil"/>
              <w:bottom w:val="single" w:sz="4" w:space="0" w:color="auto"/>
              <w:right w:val="single" w:sz="4" w:space="0" w:color="auto"/>
            </w:tcBorders>
            <w:shd w:val="clear" w:color="000000" w:fill="FFFFFF"/>
            <w:noWrap/>
            <w:vAlign w:val="bottom"/>
            <w:hideMark/>
          </w:tcPr>
          <w:p w14:paraId="739F24D1"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0,66</w:t>
            </w:r>
          </w:p>
        </w:tc>
        <w:tc>
          <w:tcPr>
            <w:tcW w:w="940" w:type="dxa"/>
            <w:tcBorders>
              <w:top w:val="nil"/>
              <w:left w:val="nil"/>
              <w:bottom w:val="single" w:sz="4" w:space="0" w:color="auto"/>
              <w:right w:val="single" w:sz="4" w:space="0" w:color="auto"/>
            </w:tcBorders>
            <w:shd w:val="clear" w:color="000000" w:fill="FFFFFF"/>
            <w:noWrap/>
            <w:vAlign w:val="bottom"/>
            <w:hideMark/>
          </w:tcPr>
          <w:p w14:paraId="3B546142"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0,82</w:t>
            </w:r>
          </w:p>
        </w:tc>
        <w:tc>
          <w:tcPr>
            <w:tcW w:w="1314" w:type="dxa"/>
            <w:tcBorders>
              <w:top w:val="nil"/>
              <w:left w:val="nil"/>
              <w:bottom w:val="single" w:sz="4" w:space="0" w:color="auto"/>
              <w:right w:val="single" w:sz="4" w:space="0" w:color="auto"/>
            </w:tcBorders>
            <w:shd w:val="clear" w:color="000000" w:fill="FFFFFF"/>
            <w:noWrap/>
            <w:vAlign w:val="bottom"/>
            <w:hideMark/>
          </w:tcPr>
          <w:p w14:paraId="2F23FA38"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77,92</w:t>
            </w:r>
          </w:p>
        </w:tc>
        <w:tc>
          <w:tcPr>
            <w:tcW w:w="1086" w:type="dxa"/>
            <w:tcBorders>
              <w:top w:val="nil"/>
              <w:left w:val="nil"/>
              <w:bottom w:val="single" w:sz="4" w:space="0" w:color="auto"/>
              <w:right w:val="single" w:sz="4" w:space="0" w:color="auto"/>
            </w:tcBorders>
            <w:shd w:val="clear" w:color="000000" w:fill="FFFFFF"/>
            <w:noWrap/>
            <w:vAlign w:val="bottom"/>
            <w:hideMark/>
          </w:tcPr>
          <w:p w14:paraId="1242F6A3"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97,4</w:t>
            </w:r>
          </w:p>
        </w:tc>
      </w:tr>
      <w:tr w:rsidR="004E10B7" w:rsidRPr="004E10B7" w14:paraId="5D7880EC" w14:textId="77777777" w:rsidTr="00677B34">
        <w:trPr>
          <w:trHeight w:val="300"/>
          <w:jc w:val="center"/>
        </w:trPr>
        <w:tc>
          <w:tcPr>
            <w:tcW w:w="1218" w:type="dxa"/>
            <w:tcBorders>
              <w:top w:val="nil"/>
              <w:left w:val="single" w:sz="4" w:space="0" w:color="auto"/>
              <w:bottom w:val="single" w:sz="4" w:space="0" w:color="auto"/>
              <w:right w:val="single" w:sz="4" w:space="0" w:color="auto"/>
            </w:tcBorders>
            <w:shd w:val="clear" w:color="000000" w:fill="FFFFFF"/>
            <w:noWrap/>
            <w:vAlign w:val="bottom"/>
            <w:hideMark/>
          </w:tcPr>
          <w:p w14:paraId="49B4E80F" w14:textId="77777777" w:rsidR="00677B34" w:rsidRPr="004E10B7" w:rsidRDefault="00677B34" w:rsidP="008B5D7F">
            <w:pPr>
              <w:spacing w:after="0" w:line="240" w:lineRule="auto"/>
              <w:ind w:firstLine="0"/>
              <w:jc w:val="center"/>
              <w:rPr>
                <w:rFonts w:ascii="Calibri" w:eastAsia="Times New Roman" w:hAnsi="Calibri" w:cs="Calibri"/>
                <w:lang w:val="es-AR" w:eastAsia="es-AR"/>
              </w:rPr>
            </w:pPr>
            <w:r w:rsidRPr="004E10B7">
              <w:rPr>
                <w:rFonts w:ascii="Calibri" w:eastAsia="Times New Roman" w:hAnsi="Calibri" w:cs="Calibri"/>
                <w:lang w:val="es-AR" w:eastAsia="es-AR"/>
              </w:rPr>
              <w:t>Chaco</w:t>
            </w:r>
          </w:p>
        </w:tc>
        <w:tc>
          <w:tcPr>
            <w:tcW w:w="940" w:type="dxa"/>
            <w:tcBorders>
              <w:top w:val="nil"/>
              <w:left w:val="nil"/>
              <w:bottom w:val="single" w:sz="4" w:space="0" w:color="auto"/>
              <w:right w:val="single" w:sz="4" w:space="0" w:color="auto"/>
            </w:tcBorders>
            <w:shd w:val="clear" w:color="000000" w:fill="FFFFFF"/>
            <w:noWrap/>
            <w:vAlign w:val="bottom"/>
            <w:hideMark/>
          </w:tcPr>
          <w:p w14:paraId="3C376F60"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0,89</w:t>
            </w:r>
          </w:p>
        </w:tc>
        <w:tc>
          <w:tcPr>
            <w:tcW w:w="940" w:type="dxa"/>
            <w:tcBorders>
              <w:top w:val="nil"/>
              <w:left w:val="nil"/>
              <w:bottom w:val="single" w:sz="4" w:space="0" w:color="auto"/>
              <w:right w:val="single" w:sz="4" w:space="0" w:color="auto"/>
            </w:tcBorders>
            <w:shd w:val="clear" w:color="000000" w:fill="FFFFFF"/>
            <w:noWrap/>
            <w:vAlign w:val="bottom"/>
            <w:hideMark/>
          </w:tcPr>
          <w:p w14:paraId="35B88D3E"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1,14</w:t>
            </w:r>
          </w:p>
        </w:tc>
        <w:tc>
          <w:tcPr>
            <w:tcW w:w="940" w:type="dxa"/>
            <w:tcBorders>
              <w:top w:val="nil"/>
              <w:left w:val="nil"/>
              <w:bottom w:val="single" w:sz="4" w:space="0" w:color="auto"/>
              <w:right w:val="single" w:sz="4" w:space="0" w:color="auto"/>
            </w:tcBorders>
            <w:shd w:val="clear" w:color="000000" w:fill="FFFFFF"/>
            <w:noWrap/>
            <w:vAlign w:val="bottom"/>
            <w:hideMark/>
          </w:tcPr>
          <w:p w14:paraId="040F556D"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0,90</w:t>
            </w:r>
          </w:p>
        </w:tc>
        <w:tc>
          <w:tcPr>
            <w:tcW w:w="1314" w:type="dxa"/>
            <w:tcBorders>
              <w:top w:val="nil"/>
              <w:left w:val="nil"/>
              <w:bottom w:val="single" w:sz="4" w:space="0" w:color="auto"/>
              <w:right w:val="single" w:sz="4" w:space="0" w:color="auto"/>
            </w:tcBorders>
            <w:shd w:val="clear" w:color="000000" w:fill="FFFFFF"/>
            <w:noWrap/>
            <w:vAlign w:val="bottom"/>
            <w:hideMark/>
          </w:tcPr>
          <w:p w14:paraId="5B4CD82A"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127,69</w:t>
            </w:r>
          </w:p>
        </w:tc>
        <w:tc>
          <w:tcPr>
            <w:tcW w:w="1086" w:type="dxa"/>
            <w:tcBorders>
              <w:top w:val="nil"/>
              <w:left w:val="nil"/>
              <w:bottom w:val="single" w:sz="4" w:space="0" w:color="auto"/>
              <w:right w:val="single" w:sz="4" w:space="0" w:color="auto"/>
            </w:tcBorders>
            <w:shd w:val="clear" w:color="000000" w:fill="FFFFFF"/>
            <w:noWrap/>
            <w:vAlign w:val="bottom"/>
            <w:hideMark/>
          </w:tcPr>
          <w:p w14:paraId="2E0DAB7C"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100,9</w:t>
            </w:r>
          </w:p>
        </w:tc>
      </w:tr>
      <w:tr w:rsidR="004E10B7" w:rsidRPr="004E10B7" w14:paraId="4545C318" w14:textId="77777777" w:rsidTr="00677B34">
        <w:trPr>
          <w:trHeight w:val="300"/>
          <w:jc w:val="center"/>
        </w:trPr>
        <w:tc>
          <w:tcPr>
            <w:tcW w:w="1218" w:type="dxa"/>
            <w:tcBorders>
              <w:top w:val="nil"/>
              <w:left w:val="single" w:sz="4" w:space="0" w:color="auto"/>
              <w:bottom w:val="single" w:sz="4" w:space="0" w:color="auto"/>
              <w:right w:val="single" w:sz="4" w:space="0" w:color="auto"/>
            </w:tcBorders>
            <w:shd w:val="clear" w:color="000000" w:fill="FFFFFF"/>
            <w:noWrap/>
            <w:vAlign w:val="bottom"/>
            <w:hideMark/>
          </w:tcPr>
          <w:p w14:paraId="72F6C582" w14:textId="77777777" w:rsidR="00677B34" w:rsidRPr="004E10B7" w:rsidRDefault="00677B34" w:rsidP="008B5D7F">
            <w:pPr>
              <w:spacing w:after="0" w:line="240" w:lineRule="auto"/>
              <w:ind w:firstLine="0"/>
              <w:jc w:val="center"/>
              <w:rPr>
                <w:rFonts w:ascii="Calibri" w:eastAsia="Times New Roman" w:hAnsi="Calibri" w:cs="Calibri"/>
                <w:lang w:val="es-AR" w:eastAsia="es-AR"/>
              </w:rPr>
            </w:pPr>
            <w:r w:rsidRPr="004E10B7">
              <w:rPr>
                <w:rFonts w:ascii="Calibri" w:eastAsia="Times New Roman" w:hAnsi="Calibri" w:cs="Calibri"/>
                <w:lang w:val="es-AR" w:eastAsia="es-AR"/>
              </w:rPr>
              <w:t>Chubut</w:t>
            </w:r>
          </w:p>
        </w:tc>
        <w:tc>
          <w:tcPr>
            <w:tcW w:w="940" w:type="dxa"/>
            <w:tcBorders>
              <w:top w:val="nil"/>
              <w:left w:val="nil"/>
              <w:bottom w:val="single" w:sz="4" w:space="0" w:color="auto"/>
              <w:right w:val="single" w:sz="4" w:space="0" w:color="auto"/>
            </w:tcBorders>
            <w:shd w:val="clear" w:color="000000" w:fill="FFFFFF"/>
            <w:noWrap/>
            <w:vAlign w:val="bottom"/>
            <w:hideMark/>
          </w:tcPr>
          <w:p w14:paraId="0003FC06"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0,69</w:t>
            </w:r>
          </w:p>
        </w:tc>
        <w:tc>
          <w:tcPr>
            <w:tcW w:w="940" w:type="dxa"/>
            <w:tcBorders>
              <w:top w:val="nil"/>
              <w:left w:val="nil"/>
              <w:bottom w:val="single" w:sz="4" w:space="0" w:color="auto"/>
              <w:right w:val="single" w:sz="4" w:space="0" w:color="auto"/>
            </w:tcBorders>
            <w:shd w:val="clear" w:color="000000" w:fill="FFFFFF"/>
            <w:noWrap/>
            <w:vAlign w:val="bottom"/>
            <w:hideMark/>
          </w:tcPr>
          <w:p w14:paraId="33E825F5"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0,82</w:t>
            </w:r>
          </w:p>
        </w:tc>
        <w:tc>
          <w:tcPr>
            <w:tcW w:w="940" w:type="dxa"/>
            <w:tcBorders>
              <w:top w:val="nil"/>
              <w:left w:val="nil"/>
              <w:bottom w:val="single" w:sz="4" w:space="0" w:color="auto"/>
              <w:right w:val="single" w:sz="4" w:space="0" w:color="auto"/>
            </w:tcBorders>
            <w:shd w:val="clear" w:color="000000" w:fill="FFFFFF"/>
            <w:noWrap/>
            <w:vAlign w:val="bottom"/>
            <w:hideMark/>
          </w:tcPr>
          <w:p w14:paraId="6C04EF2F"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1,01</w:t>
            </w:r>
          </w:p>
        </w:tc>
        <w:tc>
          <w:tcPr>
            <w:tcW w:w="1314" w:type="dxa"/>
            <w:tcBorders>
              <w:top w:val="nil"/>
              <w:left w:val="nil"/>
              <w:bottom w:val="single" w:sz="4" w:space="0" w:color="auto"/>
              <w:right w:val="single" w:sz="4" w:space="0" w:color="auto"/>
            </w:tcBorders>
            <w:shd w:val="clear" w:color="000000" w:fill="FFFFFF"/>
            <w:noWrap/>
            <w:vAlign w:val="bottom"/>
            <w:hideMark/>
          </w:tcPr>
          <w:p w14:paraId="1458DB2C"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117,59</w:t>
            </w:r>
          </w:p>
        </w:tc>
        <w:tc>
          <w:tcPr>
            <w:tcW w:w="1086" w:type="dxa"/>
            <w:tcBorders>
              <w:top w:val="nil"/>
              <w:left w:val="nil"/>
              <w:bottom w:val="single" w:sz="4" w:space="0" w:color="auto"/>
              <w:right w:val="single" w:sz="4" w:space="0" w:color="auto"/>
            </w:tcBorders>
            <w:shd w:val="clear" w:color="000000" w:fill="FFFFFF"/>
            <w:noWrap/>
            <w:vAlign w:val="bottom"/>
            <w:hideMark/>
          </w:tcPr>
          <w:p w14:paraId="2FDCD0DF"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145,6</w:t>
            </w:r>
          </w:p>
        </w:tc>
      </w:tr>
      <w:tr w:rsidR="004E10B7" w:rsidRPr="004E10B7" w14:paraId="6ED6D283" w14:textId="77777777" w:rsidTr="00677B34">
        <w:trPr>
          <w:trHeight w:val="300"/>
          <w:jc w:val="center"/>
        </w:trPr>
        <w:tc>
          <w:tcPr>
            <w:tcW w:w="1218" w:type="dxa"/>
            <w:tcBorders>
              <w:top w:val="nil"/>
              <w:left w:val="single" w:sz="4" w:space="0" w:color="auto"/>
              <w:bottom w:val="single" w:sz="4" w:space="0" w:color="auto"/>
              <w:right w:val="single" w:sz="4" w:space="0" w:color="auto"/>
            </w:tcBorders>
            <w:shd w:val="clear" w:color="000000" w:fill="FFFFFF"/>
            <w:noWrap/>
            <w:vAlign w:val="bottom"/>
            <w:hideMark/>
          </w:tcPr>
          <w:p w14:paraId="205A3F85" w14:textId="77777777" w:rsidR="00677B34" w:rsidRPr="004E10B7" w:rsidRDefault="00677B34" w:rsidP="008B5D7F">
            <w:pPr>
              <w:spacing w:after="0" w:line="240" w:lineRule="auto"/>
              <w:ind w:firstLine="0"/>
              <w:jc w:val="center"/>
              <w:rPr>
                <w:rFonts w:ascii="Calibri" w:eastAsia="Times New Roman" w:hAnsi="Calibri" w:cs="Calibri"/>
                <w:lang w:val="es-AR" w:eastAsia="es-AR"/>
              </w:rPr>
            </w:pPr>
            <w:r w:rsidRPr="004E10B7">
              <w:rPr>
                <w:rFonts w:ascii="Calibri" w:eastAsia="Times New Roman" w:hAnsi="Calibri" w:cs="Calibri"/>
                <w:lang w:val="es-AR" w:eastAsia="es-AR"/>
              </w:rPr>
              <w:t>Entre R.</w:t>
            </w:r>
          </w:p>
        </w:tc>
        <w:tc>
          <w:tcPr>
            <w:tcW w:w="940" w:type="dxa"/>
            <w:tcBorders>
              <w:top w:val="nil"/>
              <w:left w:val="nil"/>
              <w:bottom w:val="single" w:sz="4" w:space="0" w:color="auto"/>
              <w:right w:val="single" w:sz="4" w:space="0" w:color="auto"/>
            </w:tcBorders>
            <w:shd w:val="clear" w:color="000000" w:fill="FFFFFF"/>
            <w:noWrap/>
            <w:vAlign w:val="bottom"/>
            <w:hideMark/>
          </w:tcPr>
          <w:p w14:paraId="414395F3"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0,90</w:t>
            </w:r>
          </w:p>
        </w:tc>
        <w:tc>
          <w:tcPr>
            <w:tcW w:w="940" w:type="dxa"/>
            <w:tcBorders>
              <w:top w:val="nil"/>
              <w:left w:val="nil"/>
              <w:bottom w:val="single" w:sz="4" w:space="0" w:color="auto"/>
              <w:right w:val="single" w:sz="4" w:space="0" w:color="auto"/>
            </w:tcBorders>
            <w:shd w:val="clear" w:color="000000" w:fill="FFFFFF"/>
            <w:noWrap/>
            <w:vAlign w:val="bottom"/>
            <w:hideMark/>
          </w:tcPr>
          <w:p w14:paraId="58DC73CD"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1,01</w:t>
            </w:r>
          </w:p>
        </w:tc>
        <w:tc>
          <w:tcPr>
            <w:tcW w:w="940" w:type="dxa"/>
            <w:tcBorders>
              <w:top w:val="nil"/>
              <w:left w:val="nil"/>
              <w:bottom w:val="single" w:sz="4" w:space="0" w:color="auto"/>
              <w:right w:val="single" w:sz="4" w:space="0" w:color="auto"/>
            </w:tcBorders>
            <w:shd w:val="clear" w:color="000000" w:fill="FFFFFF"/>
            <w:noWrap/>
            <w:vAlign w:val="bottom"/>
            <w:hideMark/>
          </w:tcPr>
          <w:p w14:paraId="1C53683A"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1,01</w:t>
            </w:r>
          </w:p>
        </w:tc>
        <w:tc>
          <w:tcPr>
            <w:tcW w:w="1314" w:type="dxa"/>
            <w:tcBorders>
              <w:top w:val="nil"/>
              <w:left w:val="nil"/>
              <w:bottom w:val="single" w:sz="4" w:space="0" w:color="auto"/>
              <w:right w:val="single" w:sz="4" w:space="0" w:color="auto"/>
            </w:tcBorders>
            <w:shd w:val="clear" w:color="000000" w:fill="FFFFFF"/>
            <w:noWrap/>
            <w:vAlign w:val="bottom"/>
            <w:hideMark/>
          </w:tcPr>
          <w:p w14:paraId="46D22A00"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111,87</w:t>
            </w:r>
          </w:p>
        </w:tc>
        <w:tc>
          <w:tcPr>
            <w:tcW w:w="1086" w:type="dxa"/>
            <w:tcBorders>
              <w:top w:val="nil"/>
              <w:left w:val="nil"/>
              <w:bottom w:val="single" w:sz="4" w:space="0" w:color="auto"/>
              <w:right w:val="single" w:sz="4" w:space="0" w:color="auto"/>
            </w:tcBorders>
            <w:shd w:val="clear" w:color="000000" w:fill="FFFFFF"/>
            <w:noWrap/>
            <w:vAlign w:val="bottom"/>
            <w:hideMark/>
          </w:tcPr>
          <w:p w14:paraId="07A20CEF"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112,0</w:t>
            </w:r>
          </w:p>
        </w:tc>
      </w:tr>
      <w:tr w:rsidR="004E10B7" w:rsidRPr="004E10B7" w14:paraId="4816FC93" w14:textId="77777777" w:rsidTr="00677B34">
        <w:trPr>
          <w:trHeight w:val="300"/>
          <w:jc w:val="center"/>
        </w:trPr>
        <w:tc>
          <w:tcPr>
            <w:tcW w:w="1218" w:type="dxa"/>
            <w:tcBorders>
              <w:top w:val="nil"/>
              <w:left w:val="single" w:sz="4" w:space="0" w:color="auto"/>
              <w:bottom w:val="single" w:sz="4" w:space="0" w:color="auto"/>
              <w:right w:val="single" w:sz="4" w:space="0" w:color="auto"/>
            </w:tcBorders>
            <w:shd w:val="clear" w:color="000000" w:fill="FFFFFF"/>
            <w:noWrap/>
            <w:vAlign w:val="bottom"/>
            <w:hideMark/>
          </w:tcPr>
          <w:p w14:paraId="4256D371" w14:textId="77777777" w:rsidR="00677B34" w:rsidRPr="004E10B7" w:rsidRDefault="00677B34" w:rsidP="008B5D7F">
            <w:pPr>
              <w:spacing w:after="0" w:line="240" w:lineRule="auto"/>
              <w:ind w:firstLine="0"/>
              <w:jc w:val="center"/>
              <w:rPr>
                <w:rFonts w:ascii="Calibri" w:eastAsia="Times New Roman" w:hAnsi="Calibri" w:cs="Calibri"/>
                <w:lang w:val="es-AR" w:eastAsia="es-AR"/>
              </w:rPr>
            </w:pPr>
            <w:r w:rsidRPr="004E10B7">
              <w:rPr>
                <w:rFonts w:ascii="Calibri" w:eastAsia="Times New Roman" w:hAnsi="Calibri" w:cs="Calibri"/>
                <w:lang w:val="es-AR" w:eastAsia="es-AR"/>
              </w:rPr>
              <w:t>Form.</w:t>
            </w:r>
          </w:p>
        </w:tc>
        <w:tc>
          <w:tcPr>
            <w:tcW w:w="940" w:type="dxa"/>
            <w:tcBorders>
              <w:top w:val="nil"/>
              <w:left w:val="nil"/>
              <w:bottom w:val="single" w:sz="4" w:space="0" w:color="auto"/>
              <w:right w:val="single" w:sz="4" w:space="0" w:color="auto"/>
            </w:tcBorders>
            <w:shd w:val="clear" w:color="000000" w:fill="FFFFFF"/>
            <w:noWrap/>
            <w:vAlign w:val="bottom"/>
            <w:hideMark/>
          </w:tcPr>
          <w:p w14:paraId="17FA669A"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0,79</w:t>
            </w:r>
          </w:p>
        </w:tc>
        <w:tc>
          <w:tcPr>
            <w:tcW w:w="940" w:type="dxa"/>
            <w:tcBorders>
              <w:top w:val="nil"/>
              <w:left w:val="nil"/>
              <w:bottom w:val="single" w:sz="4" w:space="0" w:color="auto"/>
              <w:right w:val="single" w:sz="4" w:space="0" w:color="auto"/>
            </w:tcBorders>
            <w:shd w:val="clear" w:color="000000" w:fill="FFFFFF"/>
            <w:noWrap/>
            <w:vAlign w:val="bottom"/>
            <w:hideMark/>
          </w:tcPr>
          <w:p w14:paraId="7C3EDF88"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0,69</w:t>
            </w:r>
          </w:p>
        </w:tc>
        <w:tc>
          <w:tcPr>
            <w:tcW w:w="940" w:type="dxa"/>
            <w:tcBorders>
              <w:top w:val="nil"/>
              <w:left w:val="nil"/>
              <w:bottom w:val="single" w:sz="4" w:space="0" w:color="auto"/>
              <w:right w:val="single" w:sz="4" w:space="0" w:color="auto"/>
            </w:tcBorders>
            <w:shd w:val="clear" w:color="000000" w:fill="FFFFFF"/>
            <w:noWrap/>
            <w:vAlign w:val="bottom"/>
            <w:hideMark/>
          </w:tcPr>
          <w:p w14:paraId="13127073"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0,72</w:t>
            </w:r>
          </w:p>
        </w:tc>
        <w:tc>
          <w:tcPr>
            <w:tcW w:w="1314" w:type="dxa"/>
            <w:tcBorders>
              <w:top w:val="nil"/>
              <w:left w:val="nil"/>
              <w:bottom w:val="single" w:sz="4" w:space="0" w:color="auto"/>
              <w:right w:val="single" w:sz="4" w:space="0" w:color="auto"/>
            </w:tcBorders>
            <w:shd w:val="clear" w:color="000000" w:fill="FFFFFF"/>
            <w:noWrap/>
            <w:vAlign w:val="bottom"/>
            <w:hideMark/>
          </w:tcPr>
          <w:p w14:paraId="4570B1FC"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87,42</w:t>
            </w:r>
          </w:p>
        </w:tc>
        <w:tc>
          <w:tcPr>
            <w:tcW w:w="1086" w:type="dxa"/>
            <w:tcBorders>
              <w:top w:val="nil"/>
              <w:left w:val="nil"/>
              <w:bottom w:val="single" w:sz="4" w:space="0" w:color="auto"/>
              <w:right w:val="single" w:sz="4" w:space="0" w:color="auto"/>
            </w:tcBorders>
            <w:shd w:val="clear" w:color="000000" w:fill="FFFFFF"/>
            <w:noWrap/>
            <w:vAlign w:val="bottom"/>
            <w:hideMark/>
          </w:tcPr>
          <w:p w14:paraId="0F68F1F5"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90,5</w:t>
            </w:r>
          </w:p>
        </w:tc>
      </w:tr>
      <w:tr w:rsidR="004E10B7" w:rsidRPr="004E10B7" w14:paraId="3ADB5E44" w14:textId="77777777" w:rsidTr="00677B34">
        <w:trPr>
          <w:trHeight w:val="300"/>
          <w:jc w:val="center"/>
        </w:trPr>
        <w:tc>
          <w:tcPr>
            <w:tcW w:w="1218" w:type="dxa"/>
            <w:tcBorders>
              <w:top w:val="nil"/>
              <w:left w:val="single" w:sz="4" w:space="0" w:color="auto"/>
              <w:bottom w:val="single" w:sz="4" w:space="0" w:color="auto"/>
              <w:right w:val="single" w:sz="4" w:space="0" w:color="auto"/>
            </w:tcBorders>
            <w:shd w:val="clear" w:color="000000" w:fill="FFFFFF"/>
            <w:noWrap/>
            <w:vAlign w:val="bottom"/>
            <w:hideMark/>
          </w:tcPr>
          <w:p w14:paraId="34E47290" w14:textId="77777777" w:rsidR="00677B34" w:rsidRPr="004E10B7" w:rsidRDefault="00677B34" w:rsidP="008B5D7F">
            <w:pPr>
              <w:spacing w:after="0" w:line="240" w:lineRule="auto"/>
              <w:ind w:firstLine="0"/>
              <w:jc w:val="center"/>
              <w:rPr>
                <w:rFonts w:ascii="Calibri" w:eastAsia="Times New Roman" w:hAnsi="Calibri" w:cs="Calibri"/>
                <w:lang w:val="es-AR" w:eastAsia="es-AR"/>
              </w:rPr>
            </w:pPr>
            <w:r w:rsidRPr="004E10B7">
              <w:rPr>
                <w:rFonts w:ascii="Calibri" w:eastAsia="Times New Roman" w:hAnsi="Calibri" w:cs="Calibri"/>
                <w:lang w:val="es-AR" w:eastAsia="es-AR"/>
              </w:rPr>
              <w:t>Jujuy</w:t>
            </w:r>
          </w:p>
        </w:tc>
        <w:tc>
          <w:tcPr>
            <w:tcW w:w="940" w:type="dxa"/>
            <w:tcBorders>
              <w:top w:val="nil"/>
              <w:left w:val="nil"/>
              <w:bottom w:val="single" w:sz="4" w:space="0" w:color="auto"/>
              <w:right w:val="single" w:sz="4" w:space="0" w:color="auto"/>
            </w:tcBorders>
            <w:shd w:val="clear" w:color="000000" w:fill="FFFFFF"/>
            <w:noWrap/>
            <w:vAlign w:val="bottom"/>
            <w:hideMark/>
          </w:tcPr>
          <w:p w14:paraId="3B0BCC04"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0,93</w:t>
            </w:r>
          </w:p>
        </w:tc>
        <w:tc>
          <w:tcPr>
            <w:tcW w:w="940" w:type="dxa"/>
            <w:tcBorders>
              <w:top w:val="nil"/>
              <w:left w:val="nil"/>
              <w:bottom w:val="single" w:sz="4" w:space="0" w:color="auto"/>
              <w:right w:val="single" w:sz="4" w:space="0" w:color="auto"/>
            </w:tcBorders>
            <w:shd w:val="clear" w:color="000000" w:fill="FFFFFF"/>
            <w:noWrap/>
            <w:vAlign w:val="bottom"/>
            <w:hideMark/>
          </w:tcPr>
          <w:p w14:paraId="4E9E76CA"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0,82</w:t>
            </w:r>
          </w:p>
        </w:tc>
        <w:tc>
          <w:tcPr>
            <w:tcW w:w="940" w:type="dxa"/>
            <w:tcBorders>
              <w:top w:val="nil"/>
              <w:left w:val="nil"/>
              <w:bottom w:val="single" w:sz="4" w:space="0" w:color="auto"/>
              <w:right w:val="single" w:sz="4" w:space="0" w:color="auto"/>
            </w:tcBorders>
            <w:shd w:val="clear" w:color="000000" w:fill="FFFFFF"/>
            <w:noWrap/>
            <w:vAlign w:val="bottom"/>
            <w:hideMark/>
          </w:tcPr>
          <w:p w14:paraId="30400C35"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0,79</w:t>
            </w:r>
          </w:p>
        </w:tc>
        <w:tc>
          <w:tcPr>
            <w:tcW w:w="1314" w:type="dxa"/>
            <w:tcBorders>
              <w:top w:val="nil"/>
              <w:left w:val="nil"/>
              <w:bottom w:val="single" w:sz="4" w:space="0" w:color="auto"/>
              <w:right w:val="single" w:sz="4" w:space="0" w:color="auto"/>
            </w:tcBorders>
            <w:shd w:val="clear" w:color="000000" w:fill="FFFFFF"/>
            <w:noWrap/>
            <w:vAlign w:val="bottom"/>
            <w:hideMark/>
          </w:tcPr>
          <w:p w14:paraId="24212B84"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88,09</w:t>
            </w:r>
          </w:p>
        </w:tc>
        <w:tc>
          <w:tcPr>
            <w:tcW w:w="1086" w:type="dxa"/>
            <w:tcBorders>
              <w:top w:val="nil"/>
              <w:left w:val="nil"/>
              <w:bottom w:val="single" w:sz="4" w:space="0" w:color="auto"/>
              <w:right w:val="single" w:sz="4" w:space="0" w:color="auto"/>
            </w:tcBorders>
            <w:shd w:val="clear" w:color="000000" w:fill="FFFFFF"/>
            <w:noWrap/>
            <w:vAlign w:val="bottom"/>
            <w:hideMark/>
          </w:tcPr>
          <w:p w14:paraId="278F2DC3"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84,2</w:t>
            </w:r>
          </w:p>
        </w:tc>
      </w:tr>
      <w:tr w:rsidR="004E10B7" w:rsidRPr="004E10B7" w14:paraId="20A743BE" w14:textId="77777777" w:rsidTr="00677B34">
        <w:trPr>
          <w:trHeight w:val="300"/>
          <w:jc w:val="center"/>
        </w:trPr>
        <w:tc>
          <w:tcPr>
            <w:tcW w:w="1218" w:type="dxa"/>
            <w:tcBorders>
              <w:top w:val="nil"/>
              <w:left w:val="single" w:sz="4" w:space="0" w:color="auto"/>
              <w:bottom w:val="single" w:sz="4" w:space="0" w:color="auto"/>
              <w:right w:val="single" w:sz="4" w:space="0" w:color="auto"/>
            </w:tcBorders>
            <w:shd w:val="clear" w:color="000000" w:fill="FFFFFF"/>
            <w:noWrap/>
            <w:vAlign w:val="bottom"/>
            <w:hideMark/>
          </w:tcPr>
          <w:p w14:paraId="0CBC3B09" w14:textId="77777777" w:rsidR="00677B34" w:rsidRPr="004E10B7" w:rsidRDefault="00677B34" w:rsidP="008B5D7F">
            <w:pPr>
              <w:spacing w:after="0" w:line="240" w:lineRule="auto"/>
              <w:ind w:firstLine="0"/>
              <w:jc w:val="center"/>
              <w:rPr>
                <w:rFonts w:ascii="Calibri" w:eastAsia="Times New Roman" w:hAnsi="Calibri" w:cs="Calibri"/>
                <w:lang w:val="es-AR" w:eastAsia="es-AR"/>
              </w:rPr>
            </w:pPr>
            <w:r w:rsidRPr="004E10B7">
              <w:rPr>
                <w:rFonts w:ascii="Calibri" w:eastAsia="Times New Roman" w:hAnsi="Calibri" w:cs="Calibri"/>
                <w:lang w:val="es-AR" w:eastAsia="es-AR"/>
              </w:rPr>
              <w:t>La Pampa</w:t>
            </w:r>
          </w:p>
        </w:tc>
        <w:tc>
          <w:tcPr>
            <w:tcW w:w="940" w:type="dxa"/>
            <w:tcBorders>
              <w:top w:val="nil"/>
              <w:left w:val="nil"/>
              <w:bottom w:val="single" w:sz="4" w:space="0" w:color="auto"/>
              <w:right w:val="single" w:sz="4" w:space="0" w:color="auto"/>
            </w:tcBorders>
            <w:shd w:val="clear" w:color="000000" w:fill="FFFFFF"/>
            <w:noWrap/>
            <w:vAlign w:val="bottom"/>
            <w:hideMark/>
          </w:tcPr>
          <w:p w14:paraId="2C318410"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1,12</w:t>
            </w:r>
          </w:p>
        </w:tc>
        <w:tc>
          <w:tcPr>
            <w:tcW w:w="940" w:type="dxa"/>
            <w:tcBorders>
              <w:top w:val="nil"/>
              <w:left w:val="nil"/>
              <w:bottom w:val="single" w:sz="4" w:space="0" w:color="auto"/>
              <w:right w:val="single" w:sz="4" w:space="0" w:color="auto"/>
            </w:tcBorders>
            <w:shd w:val="clear" w:color="000000" w:fill="FFFFFF"/>
            <w:noWrap/>
            <w:vAlign w:val="bottom"/>
            <w:hideMark/>
          </w:tcPr>
          <w:p w14:paraId="02A431B5"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1,01</w:t>
            </w:r>
          </w:p>
        </w:tc>
        <w:tc>
          <w:tcPr>
            <w:tcW w:w="940" w:type="dxa"/>
            <w:tcBorders>
              <w:top w:val="nil"/>
              <w:left w:val="nil"/>
              <w:bottom w:val="single" w:sz="4" w:space="0" w:color="auto"/>
              <w:right w:val="single" w:sz="4" w:space="0" w:color="auto"/>
            </w:tcBorders>
            <w:shd w:val="clear" w:color="000000" w:fill="FFFFFF"/>
            <w:noWrap/>
            <w:vAlign w:val="bottom"/>
            <w:hideMark/>
          </w:tcPr>
          <w:p w14:paraId="7013A2B3"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0,80</w:t>
            </w:r>
          </w:p>
        </w:tc>
        <w:tc>
          <w:tcPr>
            <w:tcW w:w="1314" w:type="dxa"/>
            <w:tcBorders>
              <w:top w:val="nil"/>
              <w:left w:val="nil"/>
              <w:bottom w:val="single" w:sz="4" w:space="0" w:color="auto"/>
              <w:right w:val="single" w:sz="4" w:space="0" w:color="auto"/>
            </w:tcBorders>
            <w:shd w:val="clear" w:color="000000" w:fill="FFFFFF"/>
            <w:noWrap/>
            <w:vAlign w:val="bottom"/>
            <w:hideMark/>
          </w:tcPr>
          <w:p w14:paraId="3C55A4D7"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90,39</w:t>
            </w:r>
          </w:p>
        </w:tc>
        <w:tc>
          <w:tcPr>
            <w:tcW w:w="1086" w:type="dxa"/>
            <w:tcBorders>
              <w:top w:val="nil"/>
              <w:left w:val="nil"/>
              <w:bottom w:val="single" w:sz="4" w:space="0" w:color="auto"/>
              <w:right w:val="single" w:sz="4" w:space="0" w:color="auto"/>
            </w:tcBorders>
            <w:shd w:val="clear" w:color="000000" w:fill="FFFFFF"/>
            <w:noWrap/>
            <w:vAlign w:val="bottom"/>
            <w:hideMark/>
          </w:tcPr>
          <w:p w14:paraId="3CA1A798"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71,3</w:t>
            </w:r>
          </w:p>
        </w:tc>
      </w:tr>
      <w:tr w:rsidR="004E10B7" w:rsidRPr="004E10B7" w14:paraId="0AD6112D" w14:textId="77777777" w:rsidTr="00677B34">
        <w:trPr>
          <w:trHeight w:val="300"/>
          <w:jc w:val="center"/>
        </w:trPr>
        <w:tc>
          <w:tcPr>
            <w:tcW w:w="1218" w:type="dxa"/>
            <w:tcBorders>
              <w:top w:val="nil"/>
              <w:left w:val="single" w:sz="4" w:space="0" w:color="auto"/>
              <w:bottom w:val="single" w:sz="4" w:space="0" w:color="auto"/>
              <w:right w:val="single" w:sz="4" w:space="0" w:color="auto"/>
            </w:tcBorders>
            <w:shd w:val="clear" w:color="000000" w:fill="FFFFFF"/>
            <w:noWrap/>
            <w:vAlign w:val="bottom"/>
            <w:hideMark/>
          </w:tcPr>
          <w:p w14:paraId="4BDE9B7A" w14:textId="77777777" w:rsidR="00677B34" w:rsidRPr="004E10B7" w:rsidRDefault="00677B34" w:rsidP="008B5D7F">
            <w:pPr>
              <w:spacing w:after="0" w:line="240" w:lineRule="auto"/>
              <w:ind w:firstLine="0"/>
              <w:jc w:val="center"/>
              <w:rPr>
                <w:rFonts w:ascii="Calibri" w:eastAsia="Times New Roman" w:hAnsi="Calibri" w:cs="Calibri"/>
                <w:lang w:val="es-AR" w:eastAsia="es-AR"/>
              </w:rPr>
            </w:pPr>
            <w:r w:rsidRPr="004E10B7">
              <w:rPr>
                <w:rFonts w:ascii="Calibri" w:eastAsia="Times New Roman" w:hAnsi="Calibri" w:cs="Calibri"/>
                <w:lang w:val="es-AR" w:eastAsia="es-AR"/>
              </w:rPr>
              <w:t>La Rioja</w:t>
            </w:r>
          </w:p>
        </w:tc>
        <w:tc>
          <w:tcPr>
            <w:tcW w:w="940" w:type="dxa"/>
            <w:tcBorders>
              <w:top w:val="nil"/>
              <w:left w:val="nil"/>
              <w:bottom w:val="single" w:sz="4" w:space="0" w:color="auto"/>
              <w:right w:val="single" w:sz="4" w:space="0" w:color="auto"/>
            </w:tcBorders>
            <w:shd w:val="clear" w:color="000000" w:fill="FFFFFF"/>
            <w:noWrap/>
            <w:vAlign w:val="bottom"/>
            <w:hideMark/>
          </w:tcPr>
          <w:p w14:paraId="35FF6DCA"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0,71</w:t>
            </w:r>
          </w:p>
        </w:tc>
        <w:tc>
          <w:tcPr>
            <w:tcW w:w="940" w:type="dxa"/>
            <w:tcBorders>
              <w:top w:val="nil"/>
              <w:left w:val="nil"/>
              <w:bottom w:val="single" w:sz="4" w:space="0" w:color="auto"/>
              <w:right w:val="single" w:sz="4" w:space="0" w:color="auto"/>
            </w:tcBorders>
            <w:shd w:val="clear" w:color="000000" w:fill="FFFFFF"/>
            <w:noWrap/>
            <w:vAlign w:val="bottom"/>
            <w:hideMark/>
          </w:tcPr>
          <w:p w14:paraId="2323A963"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0,75</w:t>
            </w:r>
          </w:p>
        </w:tc>
        <w:tc>
          <w:tcPr>
            <w:tcW w:w="940" w:type="dxa"/>
            <w:tcBorders>
              <w:top w:val="nil"/>
              <w:left w:val="nil"/>
              <w:bottom w:val="single" w:sz="4" w:space="0" w:color="auto"/>
              <w:right w:val="single" w:sz="4" w:space="0" w:color="auto"/>
            </w:tcBorders>
            <w:shd w:val="clear" w:color="000000" w:fill="FFFFFF"/>
            <w:noWrap/>
            <w:vAlign w:val="bottom"/>
            <w:hideMark/>
          </w:tcPr>
          <w:p w14:paraId="2A260DFD"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0,65</w:t>
            </w:r>
          </w:p>
        </w:tc>
        <w:tc>
          <w:tcPr>
            <w:tcW w:w="1314" w:type="dxa"/>
            <w:tcBorders>
              <w:top w:val="nil"/>
              <w:left w:val="nil"/>
              <w:bottom w:val="single" w:sz="4" w:space="0" w:color="auto"/>
              <w:right w:val="single" w:sz="4" w:space="0" w:color="auto"/>
            </w:tcBorders>
            <w:shd w:val="clear" w:color="000000" w:fill="FFFFFF"/>
            <w:noWrap/>
            <w:vAlign w:val="bottom"/>
            <w:hideMark/>
          </w:tcPr>
          <w:p w14:paraId="10F36048"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105,68</w:t>
            </w:r>
          </w:p>
        </w:tc>
        <w:tc>
          <w:tcPr>
            <w:tcW w:w="1086" w:type="dxa"/>
            <w:tcBorders>
              <w:top w:val="nil"/>
              <w:left w:val="nil"/>
              <w:bottom w:val="single" w:sz="4" w:space="0" w:color="auto"/>
              <w:right w:val="single" w:sz="4" w:space="0" w:color="auto"/>
            </w:tcBorders>
            <w:shd w:val="clear" w:color="000000" w:fill="FFFFFF"/>
            <w:noWrap/>
            <w:vAlign w:val="bottom"/>
            <w:hideMark/>
          </w:tcPr>
          <w:p w14:paraId="63C15490"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90,7</w:t>
            </w:r>
          </w:p>
        </w:tc>
      </w:tr>
      <w:tr w:rsidR="004E10B7" w:rsidRPr="004E10B7" w14:paraId="675723A9" w14:textId="77777777" w:rsidTr="00677B34">
        <w:trPr>
          <w:trHeight w:val="300"/>
          <w:jc w:val="center"/>
        </w:trPr>
        <w:tc>
          <w:tcPr>
            <w:tcW w:w="1218" w:type="dxa"/>
            <w:tcBorders>
              <w:top w:val="nil"/>
              <w:left w:val="single" w:sz="4" w:space="0" w:color="auto"/>
              <w:bottom w:val="single" w:sz="4" w:space="0" w:color="auto"/>
              <w:right w:val="single" w:sz="4" w:space="0" w:color="auto"/>
            </w:tcBorders>
            <w:shd w:val="clear" w:color="000000" w:fill="FFFFFF"/>
            <w:noWrap/>
            <w:vAlign w:val="bottom"/>
            <w:hideMark/>
          </w:tcPr>
          <w:p w14:paraId="515D9E4C" w14:textId="77777777" w:rsidR="00677B34" w:rsidRPr="004E10B7" w:rsidRDefault="00677B34" w:rsidP="008B5D7F">
            <w:pPr>
              <w:spacing w:after="0" w:line="240" w:lineRule="auto"/>
              <w:ind w:firstLine="0"/>
              <w:jc w:val="center"/>
              <w:rPr>
                <w:rFonts w:ascii="Calibri" w:eastAsia="Times New Roman" w:hAnsi="Calibri" w:cs="Calibri"/>
                <w:lang w:val="es-AR" w:eastAsia="es-AR"/>
              </w:rPr>
            </w:pPr>
            <w:r w:rsidRPr="004E10B7">
              <w:rPr>
                <w:rFonts w:ascii="Calibri" w:eastAsia="Times New Roman" w:hAnsi="Calibri" w:cs="Calibri"/>
                <w:lang w:val="es-AR" w:eastAsia="es-AR"/>
              </w:rPr>
              <w:t>Mza</w:t>
            </w:r>
          </w:p>
        </w:tc>
        <w:tc>
          <w:tcPr>
            <w:tcW w:w="940" w:type="dxa"/>
            <w:tcBorders>
              <w:top w:val="nil"/>
              <w:left w:val="nil"/>
              <w:bottom w:val="single" w:sz="4" w:space="0" w:color="auto"/>
              <w:right w:val="single" w:sz="4" w:space="0" w:color="auto"/>
            </w:tcBorders>
            <w:shd w:val="clear" w:color="000000" w:fill="FFFFFF"/>
            <w:noWrap/>
            <w:vAlign w:val="bottom"/>
            <w:hideMark/>
          </w:tcPr>
          <w:p w14:paraId="0F8EB73C"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1,33</w:t>
            </w:r>
          </w:p>
        </w:tc>
        <w:tc>
          <w:tcPr>
            <w:tcW w:w="940" w:type="dxa"/>
            <w:tcBorders>
              <w:top w:val="nil"/>
              <w:left w:val="nil"/>
              <w:bottom w:val="single" w:sz="4" w:space="0" w:color="auto"/>
              <w:right w:val="single" w:sz="4" w:space="0" w:color="auto"/>
            </w:tcBorders>
            <w:shd w:val="clear" w:color="000000" w:fill="FFFFFF"/>
            <w:noWrap/>
            <w:vAlign w:val="bottom"/>
            <w:hideMark/>
          </w:tcPr>
          <w:p w14:paraId="7118224E"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0,84</w:t>
            </w:r>
          </w:p>
        </w:tc>
        <w:tc>
          <w:tcPr>
            <w:tcW w:w="940" w:type="dxa"/>
            <w:tcBorders>
              <w:top w:val="nil"/>
              <w:left w:val="nil"/>
              <w:bottom w:val="single" w:sz="4" w:space="0" w:color="auto"/>
              <w:right w:val="single" w:sz="4" w:space="0" w:color="auto"/>
            </w:tcBorders>
            <w:shd w:val="clear" w:color="000000" w:fill="FFFFFF"/>
            <w:noWrap/>
            <w:vAlign w:val="bottom"/>
            <w:hideMark/>
          </w:tcPr>
          <w:p w14:paraId="45E8FC4D"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1,14</w:t>
            </w:r>
          </w:p>
        </w:tc>
        <w:tc>
          <w:tcPr>
            <w:tcW w:w="1314" w:type="dxa"/>
            <w:tcBorders>
              <w:top w:val="nil"/>
              <w:left w:val="nil"/>
              <w:bottom w:val="single" w:sz="4" w:space="0" w:color="auto"/>
              <w:right w:val="single" w:sz="4" w:space="0" w:color="auto"/>
            </w:tcBorders>
            <w:shd w:val="clear" w:color="000000" w:fill="FFFFFF"/>
            <w:noWrap/>
            <w:vAlign w:val="bottom"/>
            <w:hideMark/>
          </w:tcPr>
          <w:p w14:paraId="1623FA74"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62,89</w:t>
            </w:r>
          </w:p>
        </w:tc>
        <w:tc>
          <w:tcPr>
            <w:tcW w:w="1086" w:type="dxa"/>
            <w:tcBorders>
              <w:top w:val="nil"/>
              <w:left w:val="nil"/>
              <w:bottom w:val="single" w:sz="4" w:space="0" w:color="auto"/>
              <w:right w:val="single" w:sz="4" w:space="0" w:color="auto"/>
            </w:tcBorders>
            <w:shd w:val="clear" w:color="000000" w:fill="FFFFFF"/>
            <w:noWrap/>
            <w:vAlign w:val="bottom"/>
            <w:hideMark/>
          </w:tcPr>
          <w:p w14:paraId="7D4BFDDE"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85,3</w:t>
            </w:r>
          </w:p>
        </w:tc>
      </w:tr>
      <w:tr w:rsidR="004E10B7" w:rsidRPr="004E10B7" w14:paraId="2CFE18E7" w14:textId="77777777" w:rsidTr="00677B34">
        <w:trPr>
          <w:trHeight w:val="300"/>
          <w:jc w:val="center"/>
        </w:trPr>
        <w:tc>
          <w:tcPr>
            <w:tcW w:w="1218" w:type="dxa"/>
            <w:tcBorders>
              <w:top w:val="nil"/>
              <w:left w:val="single" w:sz="4" w:space="0" w:color="auto"/>
              <w:bottom w:val="single" w:sz="4" w:space="0" w:color="auto"/>
              <w:right w:val="single" w:sz="4" w:space="0" w:color="auto"/>
            </w:tcBorders>
            <w:shd w:val="clear" w:color="000000" w:fill="FFFFFF"/>
            <w:noWrap/>
            <w:vAlign w:val="bottom"/>
            <w:hideMark/>
          </w:tcPr>
          <w:p w14:paraId="14FFE789" w14:textId="77777777" w:rsidR="00677B34" w:rsidRPr="004E10B7" w:rsidRDefault="00677B34" w:rsidP="008B5D7F">
            <w:pPr>
              <w:spacing w:after="0" w:line="240" w:lineRule="auto"/>
              <w:ind w:firstLine="0"/>
              <w:jc w:val="center"/>
              <w:rPr>
                <w:rFonts w:ascii="Calibri" w:eastAsia="Times New Roman" w:hAnsi="Calibri" w:cs="Calibri"/>
                <w:lang w:val="es-AR" w:eastAsia="es-AR"/>
              </w:rPr>
            </w:pPr>
            <w:r w:rsidRPr="004E10B7">
              <w:rPr>
                <w:rFonts w:ascii="Calibri" w:eastAsia="Times New Roman" w:hAnsi="Calibri" w:cs="Calibri"/>
                <w:lang w:val="es-AR" w:eastAsia="es-AR"/>
              </w:rPr>
              <w:t>Misio.</w:t>
            </w:r>
          </w:p>
        </w:tc>
        <w:tc>
          <w:tcPr>
            <w:tcW w:w="940" w:type="dxa"/>
            <w:tcBorders>
              <w:top w:val="nil"/>
              <w:left w:val="nil"/>
              <w:bottom w:val="single" w:sz="4" w:space="0" w:color="auto"/>
              <w:right w:val="single" w:sz="4" w:space="0" w:color="auto"/>
            </w:tcBorders>
            <w:shd w:val="clear" w:color="000000" w:fill="FFFFFF"/>
            <w:noWrap/>
            <w:vAlign w:val="bottom"/>
            <w:hideMark/>
          </w:tcPr>
          <w:p w14:paraId="38621DC7"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0,98</w:t>
            </w:r>
          </w:p>
        </w:tc>
        <w:tc>
          <w:tcPr>
            <w:tcW w:w="940" w:type="dxa"/>
            <w:tcBorders>
              <w:top w:val="nil"/>
              <w:left w:val="nil"/>
              <w:bottom w:val="single" w:sz="4" w:space="0" w:color="auto"/>
              <w:right w:val="single" w:sz="4" w:space="0" w:color="auto"/>
            </w:tcBorders>
            <w:shd w:val="clear" w:color="000000" w:fill="FFFFFF"/>
            <w:noWrap/>
            <w:vAlign w:val="bottom"/>
            <w:hideMark/>
          </w:tcPr>
          <w:p w14:paraId="271D3F2D"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1,31</w:t>
            </w:r>
          </w:p>
        </w:tc>
        <w:tc>
          <w:tcPr>
            <w:tcW w:w="940" w:type="dxa"/>
            <w:tcBorders>
              <w:top w:val="nil"/>
              <w:left w:val="nil"/>
              <w:bottom w:val="single" w:sz="4" w:space="0" w:color="auto"/>
              <w:right w:val="single" w:sz="4" w:space="0" w:color="auto"/>
            </w:tcBorders>
            <w:shd w:val="clear" w:color="000000" w:fill="FFFFFF"/>
            <w:noWrap/>
            <w:vAlign w:val="bottom"/>
            <w:hideMark/>
          </w:tcPr>
          <w:p w14:paraId="280D59B2"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1,93</w:t>
            </w:r>
          </w:p>
        </w:tc>
        <w:tc>
          <w:tcPr>
            <w:tcW w:w="1314" w:type="dxa"/>
            <w:tcBorders>
              <w:top w:val="nil"/>
              <w:left w:val="nil"/>
              <w:bottom w:val="single" w:sz="4" w:space="0" w:color="auto"/>
              <w:right w:val="single" w:sz="4" w:space="0" w:color="auto"/>
            </w:tcBorders>
            <w:shd w:val="clear" w:color="000000" w:fill="FFFFFF"/>
            <w:noWrap/>
            <w:vAlign w:val="bottom"/>
            <w:hideMark/>
          </w:tcPr>
          <w:p w14:paraId="2336CBEC"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134,65</w:t>
            </w:r>
          </w:p>
        </w:tc>
        <w:tc>
          <w:tcPr>
            <w:tcW w:w="1086" w:type="dxa"/>
            <w:tcBorders>
              <w:top w:val="nil"/>
              <w:left w:val="nil"/>
              <w:bottom w:val="single" w:sz="4" w:space="0" w:color="auto"/>
              <w:right w:val="single" w:sz="4" w:space="0" w:color="auto"/>
            </w:tcBorders>
            <w:shd w:val="clear" w:color="000000" w:fill="FFFFFF"/>
            <w:noWrap/>
            <w:vAlign w:val="bottom"/>
            <w:hideMark/>
          </w:tcPr>
          <w:p w14:paraId="0839D070"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197,3</w:t>
            </w:r>
          </w:p>
        </w:tc>
      </w:tr>
      <w:tr w:rsidR="004E10B7" w:rsidRPr="004E10B7" w14:paraId="17F0F7C8" w14:textId="77777777" w:rsidTr="00677B34">
        <w:trPr>
          <w:trHeight w:val="300"/>
          <w:jc w:val="center"/>
        </w:trPr>
        <w:tc>
          <w:tcPr>
            <w:tcW w:w="1218" w:type="dxa"/>
            <w:tcBorders>
              <w:top w:val="nil"/>
              <w:left w:val="single" w:sz="4" w:space="0" w:color="auto"/>
              <w:bottom w:val="single" w:sz="4" w:space="0" w:color="auto"/>
              <w:right w:val="single" w:sz="4" w:space="0" w:color="auto"/>
            </w:tcBorders>
            <w:shd w:val="clear" w:color="000000" w:fill="FFFFFF"/>
            <w:noWrap/>
            <w:vAlign w:val="bottom"/>
            <w:hideMark/>
          </w:tcPr>
          <w:p w14:paraId="2B0E22F2" w14:textId="77777777" w:rsidR="00677B34" w:rsidRPr="004E10B7" w:rsidRDefault="00677B34" w:rsidP="008B5D7F">
            <w:pPr>
              <w:spacing w:after="0" w:line="240" w:lineRule="auto"/>
              <w:ind w:firstLine="0"/>
              <w:jc w:val="center"/>
              <w:rPr>
                <w:rFonts w:ascii="Calibri" w:eastAsia="Times New Roman" w:hAnsi="Calibri" w:cs="Calibri"/>
                <w:lang w:val="es-AR" w:eastAsia="es-AR"/>
              </w:rPr>
            </w:pPr>
            <w:r w:rsidRPr="004E10B7">
              <w:rPr>
                <w:rFonts w:ascii="Calibri" w:eastAsia="Times New Roman" w:hAnsi="Calibri" w:cs="Calibri"/>
                <w:lang w:val="es-AR" w:eastAsia="es-AR"/>
              </w:rPr>
              <w:t>Neuq.</w:t>
            </w:r>
          </w:p>
        </w:tc>
        <w:tc>
          <w:tcPr>
            <w:tcW w:w="940" w:type="dxa"/>
            <w:tcBorders>
              <w:top w:val="nil"/>
              <w:left w:val="nil"/>
              <w:bottom w:val="single" w:sz="4" w:space="0" w:color="auto"/>
              <w:right w:val="single" w:sz="4" w:space="0" w:color="auto"/>
            </w:tcBorders>
            <w:shd w:val="clear" w:color="000000" w:fill="FFFFFF"/>
            <w:noWrap/>
            <w:vAlign w:val="bottom"/>
            <w:hideMark/>
          </w:tcPr>
          <w:p w14:paraId="585F6D43"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0,89</w:t>
            </w:r>
          </w:p>
        </w:tc>
        <w:tc>
          <w:tcPr>
            <w:tcW w:w="940" w:type="dxa"/>
            <w:tcBorders>
              <w:top w:val="nil"/>
              <w:left w:val="nil"/>
              <w:bottom w:val="single" w:sz="4" w:space="0" w:color="auto"/>
              <w:right w:val="single" w:sz="4" w:space="0" w:color="auto"/>
            </w:tcBorders>
            <w:shd w:val="clear" w:color="000000" w:fill="FFFFFF"/>
            <w:noWrap/>
            <w:vAlign w:val="bottom"/>
            <w:hideMark/>
          </w:tcPr>
          <w:p w14:paraId="5FEF8AE4"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1,11</w:t>
            </w:r>
          </w:p>
        </w:tc>
        <w:tc>
          <w:tcPr>
            <w:tcW w:w="940" w:type="dxa"/>
            <w:tcBorders>
              <w:top w:val="nil"/>
              <w:left w:val="nil"/>
              <w:bottom w:val="single" w:sz="4" w:space="0" w:color="auto"/>
              <w:right w:val="single" w:sz="4" w:space="0" w:color="auto"/>
            </w:tcBorders>
            <w:shd w:val="clear" w:color="000000" w:fill="FFFFFF"/>
            <w:noWrap/>
            <w:vAlign w:val="bottom"/>
            <w:hideMark/>
          </w:tcPr>
          <w:p w14:paraId="03B027B8"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1,08</w:t>
            </w:r>
          </w:p>
        </w:tc>
        <w:tc>
          <w:tcPr>
            <w:tcW w:w="1314" w:type="dxa"/>
            <w:tcBorders>
              <w:top w:val="nil"/>
              <w:left w:val="nil"/>
              <w:bottom w:val="single" w:sz="4" w:space="0" w:color="auto"/>
              <w:right w:val="single" w:sz="4" w:space="0" w:color="auto"/>
            </w:tcBorders>
            <w:shd w:val="clear" w:color="000000" w:fill="FFFFFF"/>
            <w:noWrap/>
            <w:vAlign w:val="bottom"/>
            <w:hideMark/>
          </w:tcPr>
          <w:p w14:paraId="17F07DFC"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124,47</w:t>
            </w:r>
          </w:p>
        </w:tc>
        <w:tc>
          <w:tcPr>
            <w:tcW w:w="1086" w:type="dxa"/>
            <w:tcBorders>
              <w:top w:val="nil"/>
              <w:left w:val="nil"/>
              <w:bottom w:val="single" w:sz="4" w:space="0" w:color="auto"/>
              <w:right w:val="single" w:sz="4" w:space="0" w:color="auto"/>
            </w:tcBorders>
            <w:shd w:val="clear" w:color="000000" w:fill="FFFFFF"/>
            <w:noWrap/>
            <w:vAlign w:val="bottom"/>
            <w:hideMark/>
          </w:tcPr>
          <w:p w14:paraId="001DF29C"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121,2</w:t>
            </w:r>
          </w:p>
        </w:tc>
      </w:tr>
      <w:tr w:rsidR="004E10B7" w:rsidRPr="004E10B7" w14:paraId="075CE74B" w14:textId="77777777" w:rsidTr="00677B34">
        <w:trPr>
          <w:trHeight w:val="300"/>
          <w:jc w:val="center"/>
        </w:trPr>
        <w:tc>
          <w:tcPr>
            <w:tcW w:w="1218" w:type="dxa"/>
            <w:tcBorders>
              <w:top w:val="nil"/>
              <w:left w:val="single" w:sz="4" w:space="0" w:color="auto"/>
              <w:bottom w:val="single" w:sz="4" w:space="0" w:color="auto"/>
              <w:right w:val="single" w:sz="4" w:space="0" w:color="auto"/>
            </w:tcBorders>
            <w:shd w:val="clear" w:color="000000" w:fill="FFFFFF"/>
            <w:noWrap/>
            <w:vAlign w:val="bottom"/>
            <w:hideMark/>
          </w:tcPr>
          <w:p w14:paraId="125E7479" w14:textId="77777777" w:rsidR="00677B34" w:rsidRPr="004E10B7" w:rsidRDefault="00677B34" w:rsidP="008B5D7F">
            <w:pPr>
              <w:spacing w:after="0" w:line="240" w:lineRule="auto"/>
              <w:ind w:firstLine="0"/>
              <w:jc w:val="center"/>
              <w:rPr>
                <w:rFonts w:ascii="Calibri" w:eastAsia="Times New Roman" w:hAnsi="Calibri" w:cs="Calibri"/>
                <w:lang w:val="es-AR" w:eastAsia="es-AR"/>
              </w:rPr>
            </w:pPr>
            <w:r w:rsidRPr="004E10B7">
              <w:rPr>
                <w:rFonts w:ascii="Calibri" w:eastAsia="Times New Roman" w:hAnsi="Calibri" w:cs="Calibri"/>
                <w:lang w:val="es-AR" w:eastAsia="es-AR"/>
              </w:rPr>
              <w:t>Río N.</w:t>
            </w:r>
          </w:p>
        </w:tc>
        <w:tc>
          <w:tcPr>
            <w:tcW w:w="940" w:type="dxa"/>
            <w:tcBorders>
              <w:top w:val="nil"/>
              <w:left w:val="nil"/>
              <w:bottom w:val="single" w:sz="4" w:space="0" w:color="auto"/>
              <w:right w:val="single" w:sz="4" w:space="0" w:color="auto"/>
            </w:tcBorders>
            <w:shd w:val="clear" w:color="000000" w:fill="FFFFFF"/>
            <w:noWrap/>
            <w:vAlign w:val="bottom"/>
            <w:hideMark/>
          </w:tcPr>
          <w:p w14:paraId="4CA70C5F"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1,16</w:t>
            </w:r>
          </w:p>
        </w:tc>
        <w:tc>
          <w:tcPr>
            <w:tcW w:w="940" w:type="dxa"/>
            <w:tcBorders>
              <w:top w:val="nil"/>
              <w:left w:val="nil"/>
              <w:bottom w:val="single" w:sz="4" w:space="0" w:color="auto"/>
              <w:right w:val="single" w:sz="4" w:space="0" w:color="auto"/>
            </w:tcBorders>
            <w:shd w:val="clear" w:color="000000" w:fill="FFFFFF"/>
            <w:noWrap/>
            <w:vAlign w:val="bottom"/>
            <w:hideMark/>
          </w:tcPr>
          <w:p w14:paraId="3F92704F"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1,12</w:t>
            </w:r>
          </w:p>
        </w:tc>
        <w:tc>
          <w:tcPr>
            <w:tcW w:w="940" w:type="dxa"/>
            <w:tcBorders>
              <w:top w:val="nil"/>
              <w:left w:val="nil"/>
              <w:bottom w:val="single" w:sz="4" w:space="0" w:color="auto"/>
              <w:right w:val="single" w:sz="4" w:space="0" w:color="auto"/>
            </w:tcBorders>
            <w:shd w:val="clear" w:color="000000" w:fill="FFFFFF"/>
            <w:noWrap/>
            <w:vAlign w:val="bottom"/>
            <w:hideMark/>
          </w:tcPr>
          <w:p w14:paraId="6FEB63E8"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1,09</w:t>
            </w:r>
          </w:p>
        </w:tc>
        <w:tc>
          <w:tcPr>
            <w:tcW w:w="1314" w:type="dxa"/>
            <w:tcBorders>
              <w:top w:val="nil"/>
              <w:left w:val="nil"/>
              <w:bottom w:val="single" w:sz="4" w:space="0" w:color="auto"/>
              <w:right w:val="single" w:sz="4" w:space="0" w:color="auto"/>
            </w:tcBorders>
            <w:shd w:val="clear" w:color="000000" w:fill="FFFFFF"/>
            <w:noWrap/>
            <w:vAlign w:val="bottom"/>
            <w:hideMark/>
          </w:tcPr>
          <w:p w14:paraId="3464B9FC"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96,69</w:t>
            </w:r>
          </w:p>
        </w:tc>
        <w:tc>
          <w:tcPr>
            <w:tcW w:w="1086" w:type="dxa"/>
            <w:tcBorders>
              <w:top w:val="nil"/>
              <w:left w:val="nil"/>
              <w:bottom w:val="single" w:sz="4" w:space="0" w:color="auto"/>
              <w:right w:val="single" w:sz="4" w:space="0" w:color="auto"/>
            </w:tcBorders>
            <w:shd w:val="clear" w:color="000000" w:fill="FFFFFF"/>
            <w:noWrap/>
            <w:vAlign w:val="bottom"/>
            <w:hideMark/>
          </w:tcPr>
          <w:p w14:paraId="173FD862"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94,2</w:t>
            </w:r>
          </w:p>
        </w:tc>
      </w:tr>
      <w:tr w:rsidR="004E10B7" w:rsidRPr="004E10B7" w14:paraId="25246C84" w14:textId="77777777" w:rsidTr="00677B34">
        <w:trPr>
          <w:trHeight w:val="300"/>
          <w:jc w:val="center"/>
        </w:trPr>
        <w:tc>
          <w:tcPr>
            <w:tcW w:w="1218" w:type="dxa"/>
            <w:tcBorders>
              <w:top w:val="nil"/>
              <w:left w:val="single" w:sz="4" w:space="0" w:color="auto"/>
              <w:bottom w:val="single" w:sz="4" w:space="0" w:color="auto"/>
              <w:right w:val="single" w:sz="4" w:space="0" w:color="auto"/>
            </w:tcBorders>
            <w:shd w:val="clear" w:color="000000" w:fill="FFFFFF"/>
            <w:noWrap/>
            <w:vAlign w:val="bottom"/>
            <w:hideMark/>
          </w:tcPr>
          <w:p w14:paraId="1221EADC" w14:textId="77777777" w:rsidR="00677B34" w:rsidRPr="004E10B7" w:rsidRDefault="00677B34" w:rsidP="008B5D7F">
            <w:pPr>
              <w:spacing w:after="0" w:line="240" w:lineRule="auto"/>
              <w:ind w:firstLine="0"/>
              <w:jc w:val="center"/>
              <w:rPr>
                <w:rFonts w:ascii="Calibri" w:eastAsia="Times New Roman" w:hAnsi="Calibri" w:cs="Calibri"/>
                <w:lang w:val="es-AR" w:eastAsia="es-AR"/>
              </w:rPr>
            </w:pPr>
            <w:r w:rsidRPr="004E10B7">
              <w:rPr>
                <w:rFonts w:ascii="Calibri" w:eastAsia="Times New Roman" w:hAnsi="Calibri" w:cs="Calibri"/>
                <w:lang w:val="es-AR" w:eastAsia="es-AR"/>
              </w:rPr>
              <w:t>Salta</w:t>
            </w:r>
          </w:p>
        </w:tc>
        <w:tc>
          <w:tcPr>
            <w:tcW w:w="940" w:type="dxa"/>
            <w:tcBorders>
              <w:top w:val="nil"/>
              <w:left w:val="nil"/>
              <w:bottom w:val="single" w:sz="4" w:space="0" w:color="auto"/>
              <w:right w:val="single" w:sz="4" w:space="0" w:color="auto"/>
            </w:tcBorders>
            <w:shd w:val="clear" w:color="000000" w:fill="FFFFFF"/>
            <w:noWrap/>
            <w:vAlign w:val="bottom"/>
            <w:hideMark/>
          </w:tcPr>
          <w:p w14:paraId="3A3BBFC1"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1,12</w:t>
            </w:r>
          </w:p>
        </w:tc>
        <w:tc>
          <w:tcPr>
            <w:tcW w:w="940" w:type="dxa"/>
            <w:tcBorders>
              <w:top w:val="nil"/>
              <w:left w:val="nil"/>
              <w:bottom w:val="single" w:sz="4" w:space="0" w:color="auto"/>
              <w:right w:val="single" w:sz="4" w:space="0" w:color="auto"/>
            </w:tcBorders>
            <w:shd w:val="clear" w:color="000000" w:fill="FFFFFF"/>
            <w:noWrap/>
            <w:vAlign w:val="bottom"/>
            <w:hideMark/>
          </w:tcPr>
          <w:p w14:paraId="2138340B"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1,26</w:t>
            </w:r>
          </w:p>
        </w:tc>
        <w:tc>
          <w:tcPr>
            <w:tcW w:w="940" w:type="dxa"/>
            <w:tcBorders>
              <w:top w:val="nil"/>
              <w:left w:val="nil"/>
              <w:bottom w:val="single" w:sz="4" w:space="0" w:color="auto"/>
              <w:right w:val="single" w:sz="4" w:space="0" w:color="auto"/>
            </w:tcBorders>
            <w:shd w:val="clear" w:color="000000" w:fill="FFFFFF"/>
            <w:noWrap/>
            <w:vAlign w:val="bottom"/>
            <w:hideMark/>
          </w:tcPr>
          <w:p w14:paraId="0431572D"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0,98</w:t>
            </w:r>
          </w:p>
        </w:tc>
        <w:tc>
          <w:tcPr>
            <w:tcW w:w="1314" w:type="dxa"/>
            <w:tcBorders>
              <w:top w:val="nil"/>
              <w:left w:val="nil"/>
              <w:bottom w:val="single" w:sz="4" w:space="0" w:color="auto"/>
              <w:right w:val="single" w:sz="4" w:space="0" w:color="auto"/>
            </w:tcBorders>
            <w:shd w:val="clear" w:color="000000" w:fill="FFFFFF"/>
            <w:noWrap/>
            <w:vAlign w:val="bottom"/>
            <w:hideMark/>
          </w:tcPr>
          <w:p w14:paraId="73EA1044"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112,54</w:t>
            </w:r>
          </w:p>
        </w:tc>
        <w:tc>
          <w:tcPr>
            <w:tcW w:w="1086" w:type="dxa"/>
            <w:tcBorders>
              <w:top w:val="nil"/>
              <w:left w:val="nil"/>
              <w:bottom w:val="single" w:sz="4" w:space="0" w:color="auto"/>
              <w:right w:val="single" w:sz="4" w:space="0" w:color="auto"/>
            </w:tcBorders>
            <w:shd w:val="clear" w:color="000000" w:fill="FFFFFF"/>
            <w:noWrap/>
            <w:vAlign w:val="bottom"/>
            <w:hideMark/>
          </w:tcPr>
          <w:p w14:paraId="757F065F"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87,0</w:t>
            </w:r>
          </w:p>
        </w:tc>
      </w:tr>
      <w:tr w:rsidR="004E10B7" w:rsidRPr="004E10B7" w14:paraId="4A844CC0" w14:textId="77777777" w:rsidTr="00677B34">
        <w:trPr>
          <w:trHeight w:val="300"/>
          <w:jc w:val="center"/>
        </w:trPr>
        <w:tc>
          <w:tcPr>
            <w:tcW w:w="1218" w:type="dxa"/>
            <w:tcBorders>
              <w:top w:val="nil"/>
              <w:left w:val="single" w:sz="4" w:space="0" w:color="auto"/>
              <w:bottom w:val="single" w:sz="4" w:space="0" w:color="auto"/>
              <w:right w:val="single" w:sz="4" w:space="0" w:color="auto"/>
            </w:tcBorders>
            <w:shd w:val="clear" w:color="000000" w:fill="FFFFFF"/>
            <w:noWrap/>
            <w:vAlign w:val="bottom"/>
            <w:hideMark/>
          </w:tcPr>
          <w:p w14:paraId="0163BD21" w14:textId="77777777" w:rsidR="00677B34" w:rsidRPr="004E10B7" w:rsidRDefault="00677B34" w:rsidP="008B5D7F">
            <w:pPr>
              <w:spacing w:after="0" w:line="240" w:lineRule="auto"/>
              <w:ind w:firstLine="0"/>
              <w:jc w:val="center"/>
              <w:rPr>
                <w:rFonts w:ascii="Calibri" w:eastAsia="Times New Roman" w:hAnsi="Calibri" w:cs="Calibri"/>
                <w:lang w:val="es-AR" w:eastAsia="es-AR"/>
              </w:rPr>
            </w:pPr>
            <w:r w:rsidRPr="004E10B7">
              <w:rPr>
                <w:rFonts w:ascii="Calibri" w:eastAsia="Times New Roman" w:hAnsi="Calibri" w:cs="Calibri"/>
                <w:lang w:val="es-AR" w:eastAsia="es-AR"/>
              </w:rPr>
              <w:t>S.J.</w:t>
            </w:r>
          </w:p>
        </w:tc>
        <w:tc>
          <w:tcPr>
            <w:tcW w:w="940" w:type="dxa"/>
            <w:tcBorders>
              <w:top w:val="nil"/>
              <w:left w:val="nil"/>
              <w:bottom w:val="single" w:sz="4" w:space="0" w:color="auto"/>
              <w:right w:val="single" w:sz="4" w:space="0" w:color="auto"/>
            </w:tcBorders>
            <w:shd w:val="clear" w:color="000000" w:fill="FFFFFF"/>
            <w:noWrap/>
            <w:vAlign w:val="bottom"/>
            <w:hideMark/>
          </w:tcPr>
          <w:p w14:paraId="6A5B3ECD"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0,72</w:t>
            </w:r>
          </w:p>
        </w:tc>
        <w:tc>
          <w:tcPr>
            <w:tcW w:w="940" w:type="dxa"/>
            <w:tcBorders>
              <w:top w:val="nil"/>
              <w:left w:val="nil"/>
              <w:bottom w:val="single" w:sz="4" w:space="0" w:color="auto"/>
              <w:right w:val="single" w:sz="4" w:space="0" w:color="auto"/>
            </w:tcBorders>
            <w:shd w:val="clear" w:color="000000" w:fill="FFFFFF"/>
            <w:noWrap/>
            <w:vAlign w:val="bottom"/>
            <w:hideMark/>
          </w:tcPr>
          <w:p w14:paraId="498537EF"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1,07</w:t>
            </w:r>
          </w:p>
        </w:tc>
        <w:tc>
          <w:tcPr>
            <w:tcW w:w="940" w:type="dxa"/>
            <w:tcBorders>
              <w:top w:val="nil"/>
              <w:left w:val="nil"/>
              <w:bottom w:val="single" w:sz="4" w:space="0" w:color="auto"/>
              <w:right w:val="single" w:sz="4" w:space="0" w:color="auto"/>
            </w:tcBorders>
            <w:shd w:val="clear" w:color="000000" w:fill="FFFFFF"/>
            <w:noWrap/>
            <w:vAlign w:val="bottom"/>
            <w:hideMark/>
          </w:tcPr>
          <w:p w14:paraId="16BF9BA0"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0,85</w:t>
            </w:r>
          </w:p>
        </w:tc>
        <w:tc>
          <w:tcPr>
            <w:tcW w:w="1314" w:type="dxa"/>
            <w:tcBorders>
              <w:top w:val="nil"/>
              <w:left w:val="nil"/>
              <w:bottom w:val="single" w:sz="4" w:space="0" w:color="auto"/>
              <w:right w:val="single" w:sz="4" w:space="0" w:color="auto"/>
            </w:tcBorders>
            <w:shd w:val="clear" w:color="000000" w:fill="FFFFFF"/>
            <w:noWrap/>
            <w:vAlign w:val="bottom"/>
            <w:hideMark/>
          </w:tcPr>
          <w:p w14:paraId="4FC20DC2"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147,41</w:t>
            </w:r>
          </w:p>
        </w:tc>
        <w:tc>
          <w:tcPr>
            <w:tcW w:w="1086" w:type="dxa"/>
            <w:tcBorders>
              <w:top w:val="nil"/>
              <w:left w:val="nil"/>
              <w:bottom w:val="single" w:sz="4" w:space="0" w:color="auto"/>
              <w:right w:val="single" w:sz="4" w:space="0" w:color="auto"/>
            </w:tcBorders>
            <w:shd w:val="clear" w:color="000000" w:fill="FFFFFF"/>
            <w:noWrap/>
            <w:vAlign w:val="bottom"/>
            <w:hideMark/>
          </w:tcPr>
          <w:p w14:paraId="6296B400"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117,5</w:t>
            </w:r>
          </w:p>
        </w:tc>
      </w:tr>
      <w:tr w:rsidR="004E10B7" w:rsidRPr="004E10B7" w14:paraId="798E04BD" w14:textId="77777777" w:rsidTr="00677B34">
        <w:trPr>
          <w:trHeight w:val="300"/>
          <w:jc w:val="center"/>
        </w:trPr>
        <w:tc>
          <w:tcPr>
            <w:tcW w:w="1218" w:type="dxa"/>
            <w:tcBorders>
              <w:top w:val="nil"/>
              <w:left w:val="single" w:sz="4" w:space="0" w:color="auto"/>
              <w:bottom w:val="single" w:sz="4" w:space="0" w:color="auto"/>
              <w:right w:val="single" w:sz="4" w:space="0" w:color="auto"/>
            </w:tcBorders>
            <w:shd w:val="clear" w:color="000000" w:fill="FFFFFF"/>
            <w:noWrap/>
            <w:vAlign w:val="bottom"/>
            <w:hideMark/>
          </w:tcPr>
          <w:p w14:paraId="5081390A" w14:textId="77777777" w:rsidR="00677B34" w:rsidRPr="004E10B7" w:rsidRDefault="00677B34" w:rsidP="008B5D7F">
            <w:pPr>
              <w:spacing w:after="0" w:line="240" w:lineRule="auto"/>
              <w:ind w:firstLine="0"/>
              <w:jc w:val="center"/>
              <w:rPr>
                <w:rFonts w:ascii="Calibri" w:eastAsia="Times New Roman" w:hAnsi="Calibri" w:cs="Calibri"/>
                <w:lang w:val="es-AR" w:eastAsia="es-AR"/>
              </w:rPr>
            </w:pPr>
            <w:r w:rsidRPr="004E10B7">
              <w:rPr>
                <w:rFonts w:ascii="Calibri" w:eastAsia="Times New Roman" w:hAnsi="Calibri" w:cs="Calibri"/>
                <w:lang w:val="es-AR" w:eastAsia="es-AR"/>
              </w:rPr>
              <w:t>S. Luis</w:t>
            </w:r>
          </w:p>
        </w:tc>
        <w:tc>
          <w:tcPr>
            <w:tcW w:w="940" w:type="dxa"/>
            <w:tcBorders>
              <w:top w:val="nil"/>
              <w:left w:val="nil"/>
              <w:bottom w:val="single" w:sz="4" w:space="0" w:color="auto"/>
              <w:right w:val="single" w:sz="4" w:space="0" w:color="auto"/>
            </w:tcBorders>
            <w:shd w:val="clear" w:color="000000" w:fill="FFFFFF"/>
            <w:noWrap/>
            <w:vAlign w:val="bottom"/>
            <w:hideMark/>
          </w:tcPr>
          <w:p w14:paraId="087625EE"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0,98</w:t>
            </w:r>
          </w:p>
        </w:tc>
        <w:tc>
          <w:tcPr>
            <w:tcW w:w="940" w:type="dxa"/>
            <w:tcBorders>
              <w:top w:val="nil"/>
              <w:left w:val="nil"/>
              <w:bottom w:val="single" w:sz="4" w:space="0" w:color="auto"/>
              <w:right w:val="single" w:sz="4" w:space="0" w:color="auto"/>
            </w:tcBorders>
            <w:shd w:val="clear" w:color="000000" w:fill="FFFFFF"/>
            <w:noWrap/>
            <w:vAlign w:val="bottom"/>
            <w:hideMark/>
          </w:tcPr>
          <w:p w14:paraId="3799C127"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1,03</w:t>
            </w:r>
          </w:p>
        </w:tc>
        <w:tc>
          <w:tcPr>
            <w:tcW w:w="940" w:type="dxa"/>
            <w:tcBorders>
              <w:top w:val="nil"/>
              <w:left w:val="nil"/>
              <w:bottom w:val="single" w:sz="4" w:space="0" w:color="auto"/>
              <w:right w:val="single" w:sz="4" w:space="0" w:color="auto"/>
            </w:tcBorders>
            <w:shd w:val="clear" w:color="000000" w:fill="FFFFFF"/>
            <w:noWrap/>
            <w:vAlign w:val="bottom"/>
            <w:hideMark/>
          </w:tcPr>
          <w:p w14:paraId="2093B6A8"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0,91</w:t>
            </w:r>
          </w:p>
        </w:tc>
        <w:tc>
          <w:tcPr>
            <w:tcW w:w="1314" w:type="dxa"/>
            <w:tcBorders>
              <w:top w:val="nil"/>
              <w:left w:val="nil"/>
              <w:bottom w:val="single" w:sz="4" w:space="0" w:color="auto"/>
              <w:right w:val="single" w:sz="4" w:space="0" w:color="auto"/>
            </w:tcBorders>
            <w:shd w:val="clear" w:color="000000" w:fill="FFFFFF"/>
            <w:noWrap/>
            <w:vAlign w:val="bottom"/>
            <w:hideMark/>
          </w:tcPr>
          <w:p w14:paraId="5DD31B6E"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104,75</w:t>
            </w:r>
          </w:p>
        </w:tc>
        <w:tc>
          <w:tcPr>
            <w:tcW w:w="1086" w:type="dxa"/>
            <w:tcBorders>
              <w:top w:val="nil"/>
              <w:left w:val="nil"/>
              <w:bottom w:val="single" w:sz="4" w:space="0" w:color="auto"/>
              <w:right w:val="single" w:sz="4" w:space="0" w:color="auto"/>
            </w:tcBorders>
            <w:shd w:val="clear" w:color="000000" w:fill="FFFFFF"/>
            <w:noWrap/>
            <w:vAlign w:val="bottom"/>
            <w:hideMark/>
          </w:tcPr>
          <w:p w14:paraId="06D020FC"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93,2</w:t>
            </w:r>
          </w:p>
        </w:tc>
      </w:tr>
      <w:tr w:rsidR="004E10B7" w:rsidRPr="004E10B7" w14:paraId="2A8E9F8D" w14:textId="77777777" w:rsidTr="00677B34">
        <w:trPr>
          <w:trHeight w:val="300"/>
          <w:jc w:val="center"/>
        </w:trPr>
        <w:tc>
          <w:tcPr>
            <w:tcW w:w="1218" w:type="dxa"/>
            <w:tcBorders>
              <w:top w:val="nil"/>
              <w:left w:val="single" w:sz="4" w:space="0" w:color="auto"/>
              <w:bottom w:val="single" w:sz="4" w:space="0" w:color="auto"/>
              <w:right w:val="single" w:sz="4" w:space="0" w:color="auto"/>
            </w:tcBorders>
            <w:shd w:val="clear" w:color="000000" w:fill="FFFFFF"/>
            <w:noWrap/>
            <w:vAlign w:val="bottom"/>
            <w:hideMark/>
          </w:tcPr>
          <w:p w14:paraId="5858B268" w14:textId="77777777" w:rsidR="00677B34" w:rsidRPr="004E10B7" w:rsidRDefault="00677B34" w:rsidP="008B5D7F">
            <w:pPr>
              <w:spacing w:after="0" w:line="240" w:lineRule="auto"/>
              <w:ind w:firstLine="0"/>
              <w:jc w:val="center"/>
              <w:rPr>
                <w:rFonts w:ascii="Calibri" w:eastAsia="Times New Roman" w:hAnsi="Calibri" w:cs="Calibri"/>
                <w:lang w:val="es-AR" w:eastAsia="es-AR"/>
              </w:rPr>
            </w:pPr>
            <w:r w:rsidRPr="004E10B7">
              <w:rPr>
                <w:rFonts w:ascii="Calibri" w:eastAsia="Times New Roman" w:hAnsi="Calibri" w:cs="Calibri"/>
                <w:lang w:val="es-AR" w:eastAsia="es-AR"/>
              </w:rPr>
              <w:t>Sta. Cruz</w:t>
            </w:r>
          </w:p>
        </w:tc>
        <w:tc>
          <w:tcPr>
            <w:tcW w:w="940" w:type="dxa"/>
            <w:tcBorders>
              <w:top w:val="nil"/>
              <w:left w:val="nil"/>
              <w:bottom w:val="single" w:sz="4" w:space="0" w:color="auto"/>
              <w:right w:val="single" w:sz="4" w:space="0" w:color="auto"/>
            </w:tcBorders>
            <w:shd w:val="clear" w:color="000000" w:fill="FFFFFF"/>
            <w:noWrap/>
            <w:vAlign w:val="bottom"/>
            <w:hideMark/>
          </w:tcPr>
          <w:p w14:paraId="5DC12169"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0,88</w:t>
            </w:r>
          </w:p>
        </w:tc>
        <w:tc>
          <w:tcPr>
            <w:tcW w:w="940" w:type="dxa"/>
            <w:tcBorders>
              <w:top w:val="nil"/>
              <w:left w:val="nil"/>
              <w:bottom w:val="single" w:sz="4" w:space="0" w:color="auto"/>
              <w:right w:val="single" w:sz="4" w:space="0" w:color="auto"/>
            </w:tcBorders>
            <w:shd w:val="clear" w:color="000000" w:fill="FFFFFF"/>
            <w:noWrap/>
            <w:vAlign w:val="bottom"/>
            <w:hideMark/>
          </w:tcPr>
          <w:p w14:paraId="552BACFC"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0,93</w:t>
            </w:r>
          </w:p>
        </w:tc>
        <w:tc>
          <w:tcPr>
            <w:tcW w:w="940" w:type="dxa"/>
            <w:tcBorders>
              <w:top w:val="nil"/>
              <w:left w:val="nil"/>
              <w:bottom w:val="single" w:sz="4" w:space="0" w:color="auto"/>
              <w:right w:val="single" w:sz="4" w:space="0" w:color="auto"/>
            </w:tcBorders>
            <w:shd w:val="clear" w:color="000000" w:fill="FFFFFF"/>
            <w:noWrap/>
            <w:vAlign w:val="bottom"/>
            <w:hideMark/>
          </w:tcPr>
          <w:p w14:paraId="07981259"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1,03</w:t>
            </w:r>
          </w:p>
        </w:tc>
        <w:tc>
          <w:tcPr>
            <w:tcW w:w="1314" w:type="dxa"/>
            <w:tcBorders>
              <w:top w:val="nil"/>
              <w:left w:val="nil"/>
              <w:bottom w:val="single" w:sz="4" w:space="0" w:color="auto"/>
              <w:right w:val="single" w:sz="4" w:space="0" w:color="auto"/>
            </w:tcBorders>
            <w:shd w:val="clear" w:color="000000" w:fill="FFFFFF"/>
            <w:noWrap/>
            <w:vAlign w:val="bottom"/>
            <w:hideMark/>
          </w:tcPr>
          <w:p w14:paraId="700488CA"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106,50</w:t>
            </w:r>
          </w:p>
        </w:tc>
        <w:tc>
          <w:tcPr>
            <w:tcW w:w="1086" w:type="dxa"/>
            <w:tcBorders>
              <w:top w:val="nil"/>
              <w:left w:val="nil"/>
              <w:bottom w:val="single" w:sz="4" w:space="0" w:color="auto"/>
              <w:right w:val="single" w:sz="4" w:space="0" w:color="auto"/>
            </w:tcBorders>
            <w:shd w:val="clear" w:color="000000" w:fill="FFFFFF"/>
            <w:noWrap/>
            <w:vAlign w:val="bottom"/>
            <w:hideMark/>
          </w:tcPr>
          <w:p w14:paraId="7900B0E1"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117,9</w:t>
            </w:r>
          </w:p>
        </w:tc>
      </w:tr>
      <w:tr w:rsidR="004E10B7" w:rsidRPr="004E10B7" w14:paraId="13334BD1" w14:textId="77777777" w:rsidTr="00677B34">
        <w:trPr>
          <w:trHeight w:val="300"/>
          <w:jc w:val="center"/>
        </w:trPr>
        <w:tc>
          <w:tcPr>
            <w:tcW w:w="1218" w:type="dxa"/>
            <w:tcBorders>
              <w:top w:val="nil"/>
              <w:left w:val="single" w:sz="4" w:space="0" w:color="auto"/>
              <w:bottom w:val="single" w:sz="4" w:space="0" w:color="auto"/>
              <w:right w:val="single" w:sz="4" w:space="0" w:color="auto"/>
            </w:tcBorders>
            <w:shd w:val="clear" w:color="000000" w:fill="FFFFFF"/>
            <w:noWrap/>
            <w:vAlign w:val="bottom"/>
            <w:hideMark/>
          </w:tcPr>
          <w:p w14:paraId="3C8BA8C8" w14:textId="77777777" w:rsidR="00677B34" w:rsidRPr="004E10B7" w:rsidRDefault="00677B34" w:rsidP="008B5D7F">
            <w:pPr>
              <w:spacing w:after="0" w:line="240" w:lineRule="auto"/>
              <w:ind w:firstLine="0"/>
              <w:jc w:val="center"/>
              <w:rPr>
                <w:rFonts w:ascii="Calibri" w:eastAsia="Times New Roman" w:hAnsi="Calibri" w:cs="Calibri"/>
                <w:lang w:val="es-AR" w:eastAsia="es-AR"/>
              </w:rPr>
            </w:pPr>
            <w:r w:rsidRPr="004E10B7">
              <w:rPr>
                <w:rFonts w:ascii="Calibri" w:eastAsia="Times New Roman" w:hAnsi="Calibri" w:cs="Calibri"/>
                <w:lang w:val="es-AR" w:eastAsia="es-AR"/>
              </w:rPr>
              <w:t>Sta. Fe</w:t>
            </w:r>
          </w:p>
        </w:tc>
        <w:tc>
          <w:tcPr>
            <w:tcW w:w="940" w:type="dxa"/>
            <w:tcBorders>
              <w:top w:val="nil"/>
              <w:left w:val="nil"/>
              <w:bottom w:val="single" w:sz="4" w:space="0" w:color="auto"/>
              <w:right w:val="single" w:sz="4" w:space="0" w:color="auto"/>
            </w:tcBorders>
            <w:shd w:val="clear" w:color="000000" w:fill="FFFFFF"/>
            <w:noWrap/>
            <w:vAlign w:val="bottom"/>
            <w:hideMark/>
          </w:tcPr>
          <w:p w14:paraId="54D6E236"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1,26</w:t>
            </w:r>
          </w:p>
        </w:tc>
        <w:tc>
          <w:tcPr>
            <w:tcW w:w="940" w:type="dxa"/>
            <w:tcBorders>
              <w:top w:val="nil"/>
              <w:left w:val="nil"/>
              <w:bottom w:val="single" w:sz="4" w:space="0" w:color="auto"/>
              <w:right w:val="single" w:sz="4" w:space="0" w:color="auto"/>
            </w:tcBorders>
            <w:shd w:val="clear" w:color="000000" w:fill="FFFFFF"/>
            <w:noWrap/>
            <w:vAlign w:val="bottom"/>
            <w:hideMark/>
          </w:tcPr>
          <w:p w14:paraId="52B11E7D"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1,07</w:t>
            </w:r>
          </w:p>
        </w:tc>
        <w:tc>
          <w:tcPr>
            <w:tcW w:w="940" w:type="dxa"/>
            <w:tcBorders>
              <w:top w:val="nil"/>
              <w:left w:val="nil"/>
              <w:bottom w:val="single" w:sz="4" w:space="0" w:color="auto"/>
              <w:right w:val="single" w:sz="4" w:space="0" w:color="auto"/>
            </w:tcBorders>
            <w:shd w:val="clear" w:color="000000" w:fill="FFFFFF"/>
            <w:noWrap/>
            <w:vAlign w:val="bottom"/>
            <w:hideMark/>
          </w:tcPr>
          <w:p w14:paraId="6FEB7853"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0,99</w:t>
            </w:r>
          </w:p>
        </w:tc>
        <w:tc>
          <w:tcPr>
            <w:tcW w:w="1314" w:type="dxa"/>
            <w:tcBorders>
              <w:top w:val="nil"/>
              <w:left w:val="nil"/>
              <w:bottom w:val="single" w:sz="4" w:space="0" w:color="auto"/>
              <w:right w:val="single" w:sz="4" w:space="0" w:color="auto"/>
            </w:tcBorders>
            <w:shd w:val="clear" w:color="000000" w:fill="FFFFFF"/>
            <w:noWrap/>
            <w:vAlign w:val="bottom"/>
            <w:hideMark/>
          </w:tcPr>
          <w:p w14:paraId="3773FCF7"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84,73</w:t>
            </w:r>
          </w:p>
        </w:tc>
        <w:tc>
          <w:tcPr>
            <w:tcW w:w="1086" w:type="dxa"/>
            <w:tcBorders>
              <w:top w:val="nil"/>
              <w:left w:val="nil"/>
              <w:bottom w:val="single" w:sz="4" w:space="0" w:color="auto"/>
              <w:right w:val="single" w:sz="4" w:space="0" w:color="auto"/>
            </w:tcBorders>
            <w:shd w:val="clear" w:color="000000" w:fill="FFFFFF"/>
            <w:noWrap/>
            <w:vAlign w:val="bottom"/>
            <w:hideMark/>
          </w:tcPr>
          <w:p w14:paraId="77BC7076"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78,6</w:t>
            </w:r>
          </w:p>
        </w:tc>
      </w:tr>
      <w:tr w:rsidR="004E10B7" w:rsidRPr="004E10B7" w14:paraId="4DED4EE6" w14:textId="77777777" w:rsidTr="00677B34">
        <w:trPr>
          <w:trHeight w:val="300"/>
          <w:jc w:val="center"/>
        </w:trPr>
        <w:tc>
          <w:tcPr>
            <w:tcW w:w="1218" w:type="dxa"/>
            <w:tcBorders>
              <w:top w:val="nil"/>
              <w:left w:val="single" w:sz="4" w:space="0" w:color="auto"/>
              <w:bottom w:val="single" w:sz="4" w:space="0" w:color="auto"/>
              <w:right w:val="single" w:sz="4" w:space="0" w:color="auto"/>
            </w:tcBorders>
            <w:shd w:val="clear" w:color="000000" w:fill="FFFFFF"/>
            <w:noWrap/>
            <w:vAlign w:val="bottom"/>
            <w:hideMark/>
          </w:tcPr>
          <w:p w14:paraId="31F04899" w14:textId="77777777" w:rsidR="00677B34" w:rsidRPr="004E10B7" w:rsidRDefault="00677B34" w:rsidP="008B5D7F">
            <w:pPr>
              <w:spacing w:after="0" w:line="240" w:lineRule="auto"/>
              <w:ind w:firstLine="0"/>
              <w:jc w:val="center"/>
              <w:rPr>
                <w:rFonts w:ascii="Calibri" w:eastAsia="Times New Roman" w:hAnsi="Calibri" w:cs="Calibri"/>
                <w:lang w:val="es-AR" w:eastAsia="es-AR"/>
              </w:rPr>
            </w:pPr>
            <w:r w:rsidRPr="004E10B7">
              <w:rPr>
                <w:rFonts w:ascii="Calibri" w:eastAsia="Times New Roman" w:hAnsi="Calibri" w:cs="Calibri"/>
                <w:lang w:val="es-AR" w:eastAsia="es-AR"/>
              </w:rPr>
              <w:t>Stgo d.E.</w:t>
            </w:r>
          </w:p>
        </w:tc>
        <w:tc>
          <w:tcPr>
            <w:tcW w:w="940" w:type="dxa"/>
            <w:tcBorders>
              <w:top w:val="nil"/>
              <w:left w:val="nil"/>
              <w:bottom w:val="single" w:sz="4" w:space="0" w:color="auto"/>
              <w:right w:val="single" w:sz="4" w:space="0" w:color="auto"/>
            </w:tcBorders>
            <w:shd w:val="clear" w:color="000000" w:fill="FFFFFF"/>
            <w:noWrap/>
            <w:vAlign w:val="bottom"/>
            <w:hideMark/>
          </w:tcPr>
          <w:p w14:paraId="6A1DEDD8"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0,70</w:t>
            </w:r>
          </w:p>
        </w:tc>
        <w:tc>
          <w:tcPr>
            <w:tcW w:w="940" w:type="dxa"/>
            <w:tcBorders>
              <w:top w:val="nil"/>
              <w:left w:val="nil"/>
              <w:bottom w:val="single" w:sz="4" w:space="0" w:color="auto"/>
              <w:right w:val="single" w:sz="4" w:space="0" w:color="auto"/>
            </w:tcBorders>
            <w:shd w:val="clear" w:color="000000" w:fill="FFFFFF"/>
            <w:noWrap/>
            <w:vAlign w:val="bottom"/>
            <w:hideMark/>
          </w:tcPr>
          <w:p w14:paraId="193A76A0"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0,84</w:t>
            </w:r>
          </w:p>
        </w:tc>
        <w:tc>
          <w:tcPr>
            <w:tcW w:w="940" w:type="dxa"/>
            <w:tcBorders>
              <w:top w:val="nil"/>
              <w:left w:val="nil"/>
              <w:bottom w:val="single" w:sz="4" w:space="0" w:color="auto"/>
              <w:right w:val="single" w:sz="4" w:space="0" w:color="auto"/>
            </w:tcBorders>
            <w:shd w:val="clear" w:color="000000" w:fill="FFFFFF"/>
            <w:noWrap/>
            <w:vAlign w:val="bottom"/>
            <w:hideMark/>
          </w:tcPr>
          <w:p w14:paraId="72E594F7"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0,62</w:t>
            </w:r>
          </w:p>
        </w:tc>
        <w:tc>
          <w:tcPr>
            <w:tcW w:w="1314" w:type="dxa"/>
            <w:tcBorders>
              <w:top w:val="nil"/>
              <w:left w:val="nil"/>
              <w:bottom w:val="single" w:sz="4" w:space="0" w:color="auto"/>
              <w:right w:val="single" w:sz="4" w:space="0" w:color="auto"/>
            </w:tcBorders>
            <w:shd w:val="clear" w:color="000000" w:fill="FFFFFF"/>
            <w:noWrap/>
            <w:vAlign w:val="bottom"/>
            <w:hideMark/>
          </w:tcPr>
          <w:p w14:paraId="6C90B473"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120,17</w:t>
            </w:r>
          </w:p>
        </w:tc>
        <w:tc>
          <w:tcPr>
            <w:tcW w:w="1086" w:type="dxa"/>
            <w:tcBorders>
              <w:top w:val="nil"/>
              <w:left w:val="nil"/>
              <w:bottom w:val="single" w:sz="4" w:space="0" w:color="auto"/>
              <w:right w:val="single" w:sz="4" w:space="0" w:color="auto"/>
            </w:tcBorders>
            <w:shd w:val="clear" w:color="000000" w:fill="FFFFFF"/>
            <w:noWrap/>
            <w:vAlign w:val="bottom"/>
            <w:hideMark/>
          </w:tcPr>
          <w:p w14:paraId="06678F33"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88,9</w:t>
            </w:r>
          </w:p>
        </w:tc>
      </w:tr>
      <w:tr w:rsidR="004E10B7" w:rsidRPr="004E10B7" w14:paraId="613BC37D" w14:textId="77777777" w:rsidTr="00677B34">
        <w:trPr>
          <w:trHeight w:val="300"/>
          <w:jc w:val="center"/>
        </w:trPr>
        <w:tc>
          <w:tcPr>
            <w:tcW w:w="1218" w:type="dxa"/>
            <w:tcBorders>
              <w:top w:val="nil"/>
              <w:left w:val="single" w:sz="4" w:space="0" w:color="auto"/>
              <w:bottom w:val="single" w:sz="4" w:space="0" w:color="auto"/>
              <w:right w:val="single" w:sz="4" w:space="0" w:color="auto"/>
            </w:tcBorders>
            <w:shd w:val="clear" w:color="000000" w:fill="FFFFFF"/>
            <w:noWrap/>
            <w:vAlign w:val="bottom"/>
            <w:hideMark/>
          </w:tcPr>
          <w:p w14:paraId="23F8B050" w14:textId="77777777" w:rsidR="00677B34" w:rsidRPr="004E10B7" w:rsidRDefault="00677B34" w:rsidP="008B5D7F">
            <w:pPr>
              <w:spacing w:after="0" w:line="240" w:lineRule="auto"/>
              <w:ind w:firstLine="0"/>
              <w:jc w:val="center"/>
              <w:rPr>
                <w:rFonts w:ascii="Calibri" w:eastAsia="Times New Roman" w:hAnsi="Calibri" w:cs="Calibri"/>
                <w:lang w:val="es-AR" w:eastAsia="es-AR"/>
              </w:rPr>
            </w:pPr>
            <w:r w:rsidRPr="004E10B7">
              <w:rPr>
                <w:rFonts w:ascii="Calibri" w:eastAsia="Times New Roman" w:hAnsi="Calibri" w:cs="Calibri"/>
                <w:lang w:val="es-AR" w:eastAsia="es-AR"/>
              </w:rPr>
              <w:t>Tierra d.F.</w:t>
            </w:r>
          </w:p>
        </w:tc>
        <w:tc>
          <w:tcPr>
            <w:tcW w:w="940" w:type="dxa"/>
            <w:tcBorders>
              <w:top w:val="nil"/>
              <w:left w:val="nil"/>
              <w:bottom w:val="single" w:sz="4" w:space="0" w:color="auto"/>
              <w:right w:val="single" w:sz="4" w:space="0" w:color="auto"/>
            </w:tcBorders>
            <w:shd w:val="clear" w:color="000000" w:fill="FFFFFF"/>
            <w:noWrap/>
            <w:vAlign w:val="bottom"/>
            <w:hideMark/>
          </w:tcPr>
          <w:p w14:paraId="1690AFFA"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1,41</w:t>
            </w:r>
          </w:p>
        </w:tc>
        <w:tc>
          <w:tcPr>
            <w:tcW w:w="940" w:type="dxa"/>
            <w:tcBorders>
              <w:top w:val="nil"/>
              <w:left w:val="nil"/>
              <w:bottom w:val="single" w:sz="4" w:space="0" w:color="auto"/>
              <w:right w:val="single" w:sz="4" w:space="0" w:color="auto"/>
            </w:tcBorders>
            <w:shd w:val="clear" w:color="000000" w:fill="FFFFFF"/>
            <w:noWrap/>
            <w:vAlign w:val="bottom"/>
            <w:hideMark/>
          </w:tcPr>
          <w:p w14:paraId="47BBC52A"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1,20</w:t>
            </w:r>
          </w:p>
        </w:tc>
        <w:tc>
          <w:tcPr>
            <w:tcW w:w="940" w:type="dxa"/>
            <w:tcBorders>
              <w:top w:val="nil"/>
              <w:left w:val="nil"/>
              <w:bottom w:val="single" w:sz="4" w:space="0" w:color="auto"/>
              <w:right w:val="single" w:sz="4" w:space="0" w:color="auto"/>
            </w:tcBorders>
            <w:shd w:val="clear" w:color="000000" w:fill="FFFFFF"/>
            <w:noWrap/>
            <w:vAlign w:val="bottom"/>
            <w:hideMark/>
          </w:tcPr>
          <w:p w14:paraId="0987B0B5"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0,99</w:t>
            </w:r>
          </w:p>
        </w:tc>
        <w:tc>
          <w:tcPr>
            <w:tcW w:w="1314" w:type="dxa"/>
            <w:tcBorders>
              <w:top w:val="nil"/>
              <w:left w:val="nil"/>
              <w:bottom w:val="single" w:sz="4" w:space="0" w:color="auto"/>
              <w:right w:val="single" w:sz="4" w:space="0" w:color="auto"/>
            </w:tcBorders>
            <w:shd w:val="clear" w:color="000000" w:fill="FFFFFF"/>
            <w:noWrap/>
            <w:vAlign w:val="bottom"/>
            <w:hideMark/>
          </w:tcPr>
          <w:p w14:paraId="3592B811"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85,13</w:t>
            </w:r>
          </w:p>
        </w:tc>
        <w:tc>
          <w:tcPr>
            <w:tcW w:w="1086" w:type="dxa"/>
            <w:tcBorders>
              <w:top w:val="nil"/>
              <w:left w:val="nil"/>
              <w:bottom w:val="single" w:sz="4" w:space="0" w:color="auto"/>
              <w:right w:val="single" w:sz="4" w:space="0" w:color="auto"/>
            </w:tcBorders>
            <w:shd w:val="clear" w:color="000000" w:fill="FFFFFF"/>
            <w:noWrap/>
            <w:vAlign w:val="bottom"/>
            <w:hideMark/>
          </w:tcPr>
          <w:p w14:paraId="58AC3360"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70,2</w:t>
            </w:r>
          </w:p>
        </w:tc>
      </w:tr>
      <w:tr w:rsidR="004E10B7" w:rsidRPr="004E10B7" w14:paraId="0E908D86" w14:textId="77777777" w:rsidTr="00677B34">
        <w:trPr>
          <w:trHeight w:val="300"/>
          <w:jc w:val="center"/>
        </w:trPr>
        <w:tc>
          <w:tcPr>
            <w:tcW w:w="1218" w:type="dxa"/>
            <w:tcBorders>
              <w:top w:val="nil"/>
              <w:left w:val="single" w:sz="4" w:space="0" w:color="auto"/>
              <w:bottom w:val="single" w:sz="4" w:space="0" w:color="auto"/>
              <w:right w:val="single" w:sz="4" w:space="0" w:color="auto"/>
            </w:tcBorders>
            <w:shd w:val="clear" w:color="000000" w:fill="FFFFFF"/>
            <w:noWrap/>
            <w:vAlign w:val="bottom"/>
            <w:hideMark/>
          </w:tcPr>
          <w:p w14:paraId="4CC7758A" w14:textId="77777777" w:rsidR="00677B34" w:rsidRPr="004E10B7" w:rsidRDefault="00677B34" w:rsidP="008B5D7F">
            <w:pPr>
              <w:spacing w:after="0" w:line="240" w:lineRule="auto"/>
              <w:ind w:firstLine="0"/>
              <w:jc w:val="center"/>
              <w:rPr>
                <w:rFonts w:ascii="Calibri" w:eastAsia="Times New Roman" w:hAnsi="Calibri" w:cs="Calibri"/>
                <w:lang w:val="es-AR" w:eastAsia="es-AR"/>
              </w:rPr>
            </w:pPr>
            <w:r w:rsidRPr="004E10B7">
              <w:rPr>
                <w:rFonts w:ascii="Calibri" w:eastAsia="Times New Roman" w:hAnsi="Calibri" w:cs="Calibri"/>
                <w:lang w:val="es-AR" w:eastAsia="es-AR"/>
              </w:rPr>
              <w:t>Tucu.</w:t>
            </w:r>
          </w:p>
        </w:tc>
        <w:tc>
          <w:tcPr>
            <w:tcW w:w="940" w:type="dxa"/>
            <w:tcBorders>
              <w:top w:val="nil"/>
              <w:left w:val="nil"/>
              <w:bottom w:val="single" w:sz="4" w:space="0" w:color="auto"/>
              <w:right w:val="single" w:sz="4" w:space="0" w:color="auto"/>
            </w:tcBorders>
            <w:shd w:val="clear" w:color="000000" w:fill="FFFFFF"/>
            <w:noWrap/>
            <w:vAlign w:val="bottom"/>
            <w:hideMark/>
          </w:tcPr>
          <w:p w14:paraId="1AF514E3"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0,98</w:t>
            </w:r>
          </w:p>
        </w:tc>
        <w:tc>
          <w:tcPr>
            <w:tcW w:w="940" w:type="dxa"/>
            <w:tcBorders>
              <w:top w:val="nil"/>
              <w:left w:val="nil"/>
              <w:bottom w:val="single" w:sz="4" w:space="0" w:color="auto"/>
              <w:right w:val="single" w:sz="4" w:space="0" w:color="auto"/>
            </w:tcBorders>
            <w:shd w:val="clear" w:color="000000" w:fill="FFFFFF"/>
            <w:noWrap/>
            <w:vAlign w:val="bottom"/>
            <w:hideMark/>
          </w:tcPr>
          <w:p w14:paraId="472F1591"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1,31</w:t>
            </w:r>
          </w:p>
        </w:tc>
        <w:tc>
          <w:tcPr>
            <w:tcW w:w="940" w:type="dxa"/>
            <w:tcBorders>
              <w:top w:val="nil"/>
              <w:left w:val="nil"/>
              <w:bottom w:val="single" w:sz="4" w:space="0" w:color="auto"/>
              <w:right w:val="single" w:sz="4" w:space="0" w:color="auto"/>
            </w:tcBorders>
            <w:shd w:val="clear" w:color="000000" w:fill="FFFFFF"/>
            <w:noWrap/>
            <w:vAlign w:val="bottom"/>
            <w:hideMark/>
          </w:tcPr>
          <w:p w14:paraId="745B31FE"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1,68</w:t>
            </w:r>
          </w:p>
        </w:tc>
        <w:tc>
          <w:tcPr>
            <w:tcW w:w="1314" w:type="dxa"/>
            <w:tcBorders>
              <w:top w:val="nil"/>
              <w:left w:val="nil"/>
              <w:bottom w:val="single" w:sz="4" w:space="0" w:color="auto"/>
              <w:right w:val="single" w:sz="4" w:space="0" w:color="auto"/>
            </w:tcBorders>
            <w:shd w:val="clear" w:color="000000" w:fill="FFFFFF"/>
            <w:noWrap/>
            <w:vAlign w:val="bottom"/>
            <w:hideMark/>
          </w:tcPr>
          <w:p w14:paraId="6999C0B3"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132,79</w:t>
            </w:r>
          </w:p>
        </w:tc>
        <w:tc>
          <w:tcPr>
            <w:tcW w:w="1086" w:type="dxa"/>
            <w:tcBorders>
              <w:top w:val="nil"/>
              <w:left w:val="nil"/>
              <w:bottom w:val="single" w:sz="4" w:space="0" w:color="auto"/>
              <w:right w:val="single" w:sz="4" w:space="0" w:color="auto"/>
            </w:tcBorders>
            <w:shd w:val="clear" w:color="000000" w:fill="FFFFFF"/>
            <w:noWrap/>
            <w:vAlign w:val="bottom"/>
            <w:hideMark/>
          </w:tcPr>
          <w:p w14:paraId="4A8294BA"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170,4</w:t>
            </w:r>
          </w:p>
        </w:tc>
      </w:tr>
    </w:tbl>
    <w:p w14:paraId="3A140D1E" w14:textId="77777777" w:rsidR="007163AB" w:rsidRPr="004E10B7" w:rsidRDefault="007163AB" w:rsidP="008B5D7F">
      <w:pPr>
        <w:spacing w:line="240" w:lineRule="auto"/>
        <w:jc w:val="center"/>
        <w:rPr>
          <w:rFonts w:cstheme="minorHAnsi"/>
          <w:sz w:val="16"/>
          <w:szCs w:val="16"/>
          <w:lang w:val="es-AR"/>
        </w:rPr>
      </w:pPr>
      <w:r w:rsidRPr="004E10B7">
        <w:rPr>
          <w:rFonts w:cstheme="minorHAnsi"/>
          <w:sz w:val="16"/>
          <w:szCs w:val="16"/>
          <w:lang w:val="es-AR"/>
        </w:rPr>
        <w:t>Fuente: Elaboración propia.</w:t>
      </w:r>
    </w:p>
    <w:p w14:paraId="29795C19" w14:textId="1533A4FD" w:rsidR="002F1563" w:rsidRDefault="002B7F00" w:rsidP="008B5D7F">
      <w:pPr>
        <w:spacing w:line="240" w:lineRule="auto"/>
        <w:rPr>
          <w:rFonts w:cstheme="minorHAnsi"/>
          <w:lang w:val="es-AR"/>
        </w:rPr>
      </w:pPr>
      <w:r w:rsidRPr="004E10B7">
        <w:rPr>
          <w:rFonts w:cstheme="minorHAnsi"/>
          <w:lang w:val="es-AR"/>
        </w:rPr>
        <w:t xml:space="preserve">Por el lado de la capacidad fiscal, los resultados de los cálculos correspondientes a CF1 indican que </w:t>
      </w:r>
      <w:r w:rsidR="0093212E" w:rsidRPr="004E10B7">
        <w:rPr>
          <w:rFonts w:cstheme="minorHAnsi"/>
          <w:lang w:val="es-AR"/>
        </w:rPr>
        <w:t xml:space="preserve">tanto CABA como Chubut, La Pampa, Neuquén, Santa Cruz y Tierra del Fuego se encontraron en todo el periodo por arriba del promedio anual de CF1 de las provincias. Catamarca estuvo 13 años por arriba y 9 por debajo, mientras que San Luis presento una CF según CF1 superior al promedio </w:t>
      </w:r>
      <w:r w:rsidR="004E1D7A" w:rsidRPr="004E10B7">
        <w:rPr>
          <w:rFonts w:cstheme="minorHAnsi"/>
          <w:lang w:val="es-AR"/>
        </w:rPr>
        <w:t xml:space="preserve">por </w:t>
      </w:r>
      <w:r w:rsidR="0093212E" w:rsidRPr="004E10B7">
        <w:rPr>
          <w:rFonts w:cstheme="minorHAnsi"/>
          <w:lang w:val="es-AR"/>
        </w:rPr>
        <w:t>7 años e</w:t>
      </w:r>
      <w:r w:rsidR="004E1D7A" w:rsidRPr="004E10B7">
        <w:rPr>
          <w:rFonts w:cstheme="minorHAnsi"/>
          <w:lang w:val="es-AR"/>
        </w:rPr>
        <w:t xml:space="preserve"> inferior durante</w:t>
      </w:r>
      <w:r w:rsidR="0093212E" w:rsidRPr="004E10B7">
        <w:rPr>
          <w:rFonts w:cstheme="minorHAnsi"/>
          <w:lang w:val="es-AR"/>
        </w:rPr>
        <w:t>. Mendoza estuvo prácticamente la totalidad del periodo por debajo del promedio (21 de los 22 años). El resto de las provincias presentaron una capacidad fiscal inferior al promedio anual durante los 22 años bajo análisis.</w:t>
      </w:r>
    </w:p>
    <w:p w14:paraId="56C62772" w14:textId="77777777" w:rsidR="00A43E2F" w:rsidRDefault="00A43E2F" w:rsidP="008B5D7F">
      <w:pPr>
        <w:spacing w:line="240" w:lineRule="auto"/>
        <w:rPr>
          <w:rFonts w:cstheme="minorHAnsi"/>
          <w:lang w:val="es-AR"/>
        </w:rPr>
      </w:pPr>
    </w:p>
    <w:p w14:paraId="0AE41A8E" w14:textId="77777777" w:rsidR="00A43E2F" w:rsidRDefault="00A43E2F" w:rsidP="008B5D7F">
      <w:pPr>
        <w:spacing w:line="240" w:lineRule="auto"/>
        <w:rPr>
          <w:rFonts w:cstheme="minorHAnsi"/>
          <w:lang w:val="es-AR"/>
        </w:rPr>
      </w:pPr>
    </w:p>
    <w:p w14:paraId="6BDB80C4" w14:textId="77777777" w:rsidR="00A43E2F" w:rsidRDefault="00A43E2F" w:rsidP="008B5D7F">
      <w:pPr>
        <w:spacing w:line="240" w:lineRule="auto"/>
        <w:rPr>
          <w:rFonts w:cstheme="minorHAnsi"/>
          <w:lang w:val="es-AR"/>
        </w:rPr>
      </w:pPr>
    </w:p>
    <w:p w14:paraId="728DFF60" w14:textId="63DF08D9" w:rsidR="002C48BF" w:rsidRPr="00E95008" w:rsidRDefault="002C48BF" w:rsidP="008B5D7F">
      <w:pPr>
        <w:pStyle w:val="Prrafodelista"/>
        <w:numPr>
          <w:ilvl w:val="0"/>
          <w:numId w:val="5"/>
        </w:numPr>
        <w:spacing w:line="240" w:lineRule="auto"/>
        <w:rPr>
          <w:b/>
          <w:lang w:val="es-AR"/>
        </w:rPr>
      </w:pPr>
      <w:r w:rsidRPr="00E95008">
        <w:rPr>
          <w:b/>
          <w:lang w:val="es-MX"/>
        </w:rPr>
        <w:lastRenderedPageBreak/>
        <w:t>Cantidad de años en que cada provincia se encuentra por arriba y por debajo del promedio anual de esfuerzo fiscal en el periodo 1993-2014– CF1.</w:t>
      </w:r>
    </w:p>
    <w:p w14:paraId="2962B76B" w14:textId="495909EA" w:rsidR="00B038A2" w:rsidRDefault="00D3306D" w:rsidP="008B5D7F">
      <w:pPr>
        <w:spacing w:line="240" w:lineRule="auto"/>
        <w:ind w:left="360"/>
        <w:jc w:val="center"/>
        <w:rPr>
          <w:lang w:val="es-MX"/>
        </w:rPr>
      </w:pPr>
      <w:r>
        <w:rPr>
          <w:noProof/>
          <w:lang w:val="es-AR" w:eastAsia="es-AR"/>
        </w:rPr>
        <w:drawing>
          <wp:inline distT="0" distB="0" distL="0" distR="0" wp14:anchorId="77DE40B4" wp14:editId="70A42998">
            <wp:extent cx="3930642" cy="2410691"/>
            <wp:effectExtent l="0" t="0" r="13335" b="889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4DCBB0D" w14:textId="77777777" w:rsidR="00D3306D" w:rsidRPr="004E10B7" w:rsidRDefault="00D3306D" w:rsidP="008B5D7F">
      <w:pPr>
        <w:spacing w:line="240" w:lineRule="auto"/>
        <w:jc w:val="center"/>
        <w:rPr>
          <w:rFonts w:cstheme="minorHAnsi"/>
          <w:sz w:val="16"/>
          <w:szCs w:val="16"/>
          <w:lang w:val="es-AR"/>
        </w:rPr>
      </w:pPr>
      <w:r w:rsidRPr="004E10B7">
        <w:rPr>
          <w:rFonts w:cstheme="minorHAnsi"/>
          <w:sz w:val="16"/>
          <w:szCs w:val="16"/>
          <w:lang w:val="es-AR"/>
        </w:rPr>
        <w:t>Fuente: Elaboración propia.</w:t>
      </w:r>
    </w:p>
    <w:p w14:paraId="0B02FE99" w14:textId="4A75192F" w:rsidR="00677B34" w:rsidRPr="004E10B7" w:rsidRDefault="0048066A" w:rsidP="008B5D7F">
      <w:pPr>
        <w:spacing w:line="240" w:lineRule="auto"/>
        <w:rPr>
          <w:rFonts w:cstheme="minorHAnsi"/>
          <w:lang w:val="es-AR"/>
        </w:rPr>
      </w:pPr>
      <w:r w:rsidRPr="004E10B7">
        <w:rPr>
          <w:rFonts w:cstheme="minorHAnsi"/>
          <w:lang w:val="es-AR"/>
        </w:rPr>
        <w:t>En cuanto a la performance de las provincias considerando los resultados de CF1, se presenta Catamarca como la que más aumentó su capacidad fiscal desde 1993 a 2014 (115,1%). Le siguen a Catamarca Santa Cruz y Neuquén con mejoras en su capacidad fiscal de 34,9% y 32,2% respectivamente. Las provincias con peor performance considerando la capacidad fiscal medida por CF1 fueron La Rioja, Tucumán y San Juan, con caídas de su CF del 36,5%</w:t>
      </w:r>
      <w:r w:rsidR="00A75DC5" w:rsidRPr="004E10B7">
        <w:rPr>
          <w:rFonts w:cstheme="minorHAnsi"/>
          <w:lang w:val="es-AR"/>
        </w:rPr>
        <w:t>, 25,9% y 23,4% respectivamente, desde 1993 a 2014.</w:t>
      </w:r>
    </w:p>
    <w:p w14:paraId="6E8A4B3B" w14:textId="68C3C768" w:rsidR="00A75DC5" w:rsidRDefault="00A75DC5" w:rsidP="008B5D7F">
      <w:pPr>
        <w:spacing w:line="240" w:lineRule="auto"/>
        <w:rPr>
          <w:rFonts w:cstheme="minorHAnsi"/>
          <w:lang w:val="es-AR"/>
        </w:rPr>
      </w:pPr>
      <w:r w:rsidRPr="004E10B7">
        <w:rPr>
          <w:rFonts w:cstheme="minorHAnsi"/>
          <w:lang w:val="es-AR"/>
        </w:rPr>
        <w:t>La tasa de crecimiento de CF1 desde 1993 a 2014 fue negativa de 0.5%. Durante el periodo bajo análisis 7 provincias aumentaron su capacidad fiscal según CF1, y 17 la empeoraron.</w:t>
      </w:r>
    </w:p>
    <w:p w14:paraId="30EDA20C" w14:textId="77777777" w:rsidR="00685400" w:rsidRPr="004E10B7" w:rsidRDefault="00685400" w:rsidP="00685400">
      <w:pPr>
        <w:spacing w:line="240" w:lineRule="auto"/>
        <w:rPr>
          <w:rFonts w:cstheme="minorHAnsi"/>
          <w:lang w:val="es-AR"/>
        </w:rPr>
      </w:pPr>
      <w:r w:rsidRPr="004E10B7">
        <w:rPr>
          <w:rFonts w:cstheme="minorHAnsi"/>
          <w:lang w:val="es-AR"/>
        </w:rPr>
        <w:t>Respecto a los “órdenes” relativos de capacidad fiscal según CF1 se observa una importante estabilidad en el tiempo. Los primeros cinco puestos (mayor capacidad fiscal relativa) son ocupados por las mismas provincias en el periodo bajo análisis, y una situación similar se presenta con los últimos puestos (menor capacidad fiscal relativa). Se destaca el caso de Catamarca que de ocupar el puesto 16 en el año 1993, pasó a ocupar el sexto puesto en 2004 logrando mantenerlo para el año 2014. El salto en posición relativa que tuvo Catamarca tuvo como marco la crisis de 2001 (pasó de ocupar el puesto 13 en 2001 a ocupar el sexto en 2002).</w:t>
      </w:r>
    </w:p>
    <w:p w14:paraId="5EE7CE78" w14:textId="6644221C" w:rsidR="00A43E2F" w:rsidRDefault="00A43E2F" w:rsidP="008B5D7F">
      <w:pPr>
        <w:spacing w:line="240" w:lineRule="auto"/>
        <w:rPr>
          <w:rFonts w:cstheme="minorHAnsi"/>
          <w:lang w:val="es-AR"/>
        </w:rPr>
      </w:pPr>
      <w:r>
        <w:rPr>
          <w:rFonts w:cstheme="minorHAnsi"/>
          <w:lang w:val="es-AR"/>
        </w:rPr>
        <w:br w:type="page"/>
      </w:r>
    </w:p>
    <w:p w14:paraId="27BB6A3D" w14:textId="4934EACD" w:rsidR="00B64F00" w:rsidRPr="00E95008" w:rsidRDefault="00B64F00" w:rsidP="008B5D7F">
      <w:pPr>
        <w:pStyle w:val="Prrafodelista"/>
        <w:numPr>
          <w:ilvl w:val="0"/>
          <w:numId w:val="4"/>
        </w:numPr>
        <w:spacing w:line="240" w:lineRule="auto"/>
        <w:rPr>
          <w:b/>
          <w:lang w:val="es-MX"/>
        </w:rPr>
      </w:pPr>
      <w:r w:rsidRPr="00E95008">
        <w:rPr>
          <w:b/>
          <w:lang w:val="es-AR"/>
        </w:rPr>
        <w:lastRenderedPageBreak/>
        <w:t>C</w:t>
      </w:r>
      <w:r w:rsidRPr="00E95008">
        <w:rPr>
          <w:b/>
          <w:lang w:val="es-MX"/>
        </w:rPr>
        <w:t>F por provincia y por año– CF1 (Valor e Índice Base 100=1993).</w:t>
      </w:r>
    </w:p>
    <w:tbl>
      <w:tblPr>
        <w:tblW w:w="6576" w:type="dxa"/>
        <w:jc w:val="center"/>
        <w:tblCellMar>
          <w:left w:w="70" w:type="dxa"/>
          <w:right w:w="70" w:type="dxa"/>
        </w:tblCellMar>
        <w:tblLook w:val="04A0" w:firstRow="1" w:lastRow="0" w:firstColumn="1" w:lastColumn="0" w:noHBand="0" w:noVBand="1"/>
      </w:tblPr>
      <w:tblGrid>
        <w:gridCol w:w="1076"/>
        <w:gridCol w:w="1100"/>
        <w:gridCol w:w="1100"/>
        <w:gridCol w:w="1100"/>
        <w:gridCol w:w="1100"/>
        <w:gridCol w:w="1100"/>
      </w:tblGrid>
      <w:tr w:rsidR="004E10B7" w:rsidRPr="004E10B7" w14:paraId="271B1FB8" w14:textId="77777777" w:rsidTr="008A32EC">
        <w:trPr>
          <w:trHeight w:val="300"/>
          <w:jc w:val="center"/>
        </w:trPr>
        <w:tc>
          <w:tcPr>
            <w:tcW w:w="1076" w:type="dxa"/>
            <w:tcBorders>
              <w:top w:val="nil"/>
              <w:left w:val="nil"/>
              <w:bottom w:val="nil"/>
              <w:right w:val="nil"/>
            </w:tcBorders>
            <w:shd w:val="clear" w:color="000000" w:fill="FFFFFF"/>
            <w:noWrap/>
            <w:vAlign w:val="bottom"/>
            <w:hideMark/>
          </w:tcPr>
          <w:p w14:paraId="1127B07B" w14:textId="77777777" w:rsidR="00677B34" w:rsidRPr="004E10B7" w:rsidRDefault="00677B34"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 </w:t>
            </w:r>
          </w:p>
        </w:tc>
        <w:tc>
          <w:tcPr>
            <w:tcW w:w="330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AA0CEA" w14:textId="77777777" w:rsidR="00677B34" w:rsidRPr="004E10B7" w:rsidRDefault="00677B34" w:rsidP="008B5D7F">
            <w:pPr>
              <w:spacing w:after="0" w:line="240" w:lineRule="auto"/>
              <w:ind w:firstLine="0"/>
              <w:jc w:val="center"/>
              <w:rPr>
                <w:rFonts w:ascii="Calibri" w:eastAsia="Times New Roman" w:hAnsi="Calibri" w:cs="Calibri"/>
                <w:lang w:val="es-AR" w:eastAsia="es-AR"/>
              </w:rPr>
            </w:pPr>
            <w:r w:rsidRPr="004E10B7">
              <w:rPr>
                <w:rFonts w:ascii="Calibri" w:eastAsia="Times New Roman" w:hAnsi="Calibri" w:cs="Calibri"/>
                <w:lang w:val="es-AR" w:eastAsia="es-AR"/>
              </w:rPr>
              <w:t>Valor</w:t>
            </w:r>
          </w:p>
        </w:tc>
        <w:tc>
          <w:tcPr>
            <w:tcW w:w="220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8BE499F" w14:textId="77777777" w:rsidR="00677B34" w:rsidRPr="004E10B7" w:rsidRDefault="00677B34" w:rsidP="008B5D7F">
            <w:pPr>
              <w:spacing w:after="0" w:line="240" w:lineRule="auto"/>
              <w:ind w:firstLine="0"/>
              <w:jc w:val="center"/>
              <w:rPr>
                <w:rFonts w:ascii="Calibri" w:eastAsia="Times New Roman" w:hAnsi="Calibri" w:cs="Calibri"/>
                <w:lang w:val="es-AR" w:eastAsia="es-AR"/>
              </w:rPr>
            </w:pPr>
            <w:r w:rsidRPr="004E10B7">
              <w:rPr>
                <w:rFonts w:ascii="Calibri" w:eastAsia="Times New Roman" w:hAnsi="Calibri" w:cs="Calibri"/>
                <w:lang w:val="es-AR" w:eastAsia="es-AR"/>
              </w:rPr>
              <w:t>Índice Base 100=1993</w:t>
            </w:r>
          </w:p>
        </w:tc>
      </w:tr>
      <w:tr w:rsidR="004E10B7" w:rsidRPr="004E10B7" w14:paraId="075AA16C" w14:textId="77777777" w:rsidTr="008A32EC">
        <w:trPr>
          <w:trHeight w:val="300"/>
          <w:jc w:val="center"/>
        </w:trPr>
        <w:tc>
          <w:tcPr>
            <w:tcW w:w="1076" w:type="dxa"/>
            <w:tcBorders>
              <w:top w:val="nil"/>
              <w:left w:val="nil"/>
              <w:bottom w:val="nil"/>
              <w:right w:val="nil"/>
            </w:tcBorders>
            <w:shd w:val="clear" w:color="000000" w:fill="FFFFFF"/>
            <w:noWrap/>
            <w:vAlign w:val="bottom"/>
            <w:hideMark/>
          </w:tcPr>
          <w:p w14:paraId="569CB035" w14:textId="77777777" w:rsidR="00677B34" w:rsidRPr="004E10B7" w:rsidRDefault="00677B34"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 </w:t>
            </w:r>
          </w:p>
        </w:tc>
        <w:tc>
          <w:tcPr>
            <w:tcW w:w="1100" w:type="dxa"/>
            <w:tcBorders>
              <w:top w:val="nil"/>
              <w:left w:val="single" w:sz="4" w:space="0" w:color="auto"/>
              <w:bottom w:val="single" w:sz="4" w:space="0" w:color="auto"/>
              <w:right w:val="single" w:sz="4" w:space="0" w:color="auto"/>
            </w:tcBorders>
            <w:shd w:val="clear" w:color="000000" w:fill="FFFFFF"/>
            <w:noWrap/>
            <w:vAlign w:val="bottom"/>
            <w:hideMark/>
          </w:tcPr>
          <w:p w14:paraId="5420BD57" w14:textId="77777777" w:rsidR="00677B34" w:rsidRPr="004E10B7" w:rsidRDefault="00677B34" w:rsidP="008B5D7F">
            <w:pPr>
              <w:spacing w:after="0" w:line="240" w:lineRule="auto"/>
              <w:ind w:firstLine="0"/>
              <w:jc w:val="center"/>
              <w:rPr>
                <w:rFonts w:ascii="Calibri" w:eastAsia="Times New Roman" w:hAnsi="Calibri" w:cs="Calibri"/>
                <w:lang w:val="es-AR" w:eastAsia="es-AR"/>
              </w:rPr>
            </w:pPr>
            <w:r w:rsidRPr="004E10B7">
              <w:rPr>
                <w:rFonts w:ascii="Calibri" w:eastAsia="Times New Roman" w:hAnsi="Calibri" w:cs="Calibri"/>
                <w:lang w:val="es-AR" w:eastAsia="es-AR"/>
              </w:rPr>
              <w:t>1993</w:t>
            </w:r>
          </w:p>
        </w:tc>
        <w:tc>
          <w:tcPr>
            <w:tcW w:w="1100" w:type="dxa"/>
            <w:tcBorders>
              <w:top w:val="nil"/>
              <w:left w:val="nil"/>
              <w:bottom w:val="single" w:sz="4" w:space="0" w:color="auto"/>
              <w:right w:val="single" w:sz="4" w:space="0" w:color="auto"/>
            </w:tcBorders>
            <w:shd w:val="clear" w:color="000000" w:fill="FFFFFF"/>
            <w:noWrap/>
            <w:vAlign w:val="bottom"/>
            <w:hideMark/>
          </w:tcPr>
          <w:p w14:paraId="070C9584" w14:textId="77777777" w:rsidR="00677B34" w:rsidRPr="004E10B7" w:rsidRDefault="00677B34" w:rsidP="008B5D7F">
            <w:pPr>
              <w:spacing w:after="0" w:line="240" w:lineRule="auto"/>
              <w:ind w:firstLine="0"/>
              <w:jc w:val="center"/>
              <w:rPr>
                <w:rFonts w:ascii="Calibri" w:eastAsia="Times New Roman" w:hAnsi="Calibri" w:cs="Calibri"/>
                <w:lang w:val="es-AR" w:eastAsia="es-AR"/>
              </w:rPr>
            </w:pPr>
            <w:r w:rsidRPr="004E10B7">
              <w:rPr>
                <w:rFonts w:ascii="Calibri" w:eastAsia="Times New Roman" w:hAnsi="Calibri" w:cs="Calibri"/>
                <w:lang w:val="es-AR" w:eastAsia="es-AR"/>
              </w:rPr>
              <w:t>2004</w:t>
            </w:r>
          </w:p>
        </w:tc>
        <w:tc>
          <w:tcPr>
            <w:tcW w:w="1100" w:type="dxa"/>
            <w:tcBorders>
              <w:top w:val="nil"/>
              <w:left w:val="nil"/>
              <w:bottom w:val="single" w:sz="4" w:space="0" w:color="auto"/>
              <w:right w:val="single" w:sz="4" w:space="0" w:color="auto"/>
            </w:tcBorders>
            <w:shd w:val="clear" w:color="000000" w:fill="FFFFFF"/>
            <w:noWrap/>
            <w:vAlign w:val="bottom"/>
            <w:hideMark/>
          </w:tcPr>
          <w:p w14:paraId="08D09371" w14:textId="77777777" w:rsidR="00677B34" w:rsidRPr="004E10B7" w:rsidRDefault="00677B34" w:rsidP="008B5D7F">
            <w:pPr>
              <w:spacing w:after="0" w:line="240" w:lineRule="auto"/>
              <w:ind w:firstLine="0"/>
              <w:jc w:val="center"/>
              <w:rPr>
                <w:rFonts w:ascii="Calibri" w:eastAsia="Times New Roman" w:hAnsi="Calibri" w:cs="Calibri"/>
                <w:lang w:val="es-AR" w:eastAsia="es-AR"/>
              </w:rPr>
            </w:pPr>
            <w:r w:rsidRPr="004E10B7">
              <w:rPr>
                <w:rFonts w:ascii="Calibri" w:eastAsia="Times New Roman" w:hAnsi="Calibri" w:cs="Calibri"/>
                <w:lang w:val="es-AR" w:eastAsia="es-AR"/>
              </w:rPr>
              <w:t>2014</w:t>
            </w:r>
          </w:p>
        </w:tc>
        <w:tc>
          <w:tcPr>
            <w:tcW w:w="1100" w:type="dxa"/>
            <w:tcBorders>
              <w:top w:val="nil"/>
              <w:left w:val="nil"/>
              <w:bottom w:val="single" w:sz="4" w:space="0" w:color="auto"/>
              <w:right w:val="single" w:sz="4" w:space="0" w:color="auto"/>
            </w:tcBorders>
            <w:shd w:val="clear" w:color="000000" w:fill="FFFFFF"/>
            <w:noWrap/>
            <w:vAlign w:val="bottom"/>
            <w:hideMark/>
          </w:tcPr>
          <w:p w14:paraId="44B50927" w14:textId="77777777" w:rsidR="00677B34" w:rsidRPr="004E10B7" w:rsidRDefault="00677B34" w:rsidP="008B5D7F">
            <w:pPr>
              <w:spacing w:after="0" w:line="240" w:lineRule="auto"/>
              <w:ind w:firstLine="0"/>
              <w:jc w:val="center"/>
              <w:rPr>
                <w:rFonts w:ascii="Calibri" w:eastAsia="Times New Roman" w:hAnsi="Calibri" w:cs="Calibri"/>
                <w:lang w:val="es-AR" w:eastAsia="es-AR"/>
              </w:rPr>
            </w:pPr>
            <w:r w:rsidRPr="004E10B7">
              <w:rPr>
                <w:rFonts w:ascii="Calibri" w:eastAsia="Times New Roman" w:hAnsi="Calibri" w:cs="Calibri"/>
                <w:lang w:val="es-AR" w:eastAsia="es-AR"/>
              </w:rPr>
              <w:t>2004</w:t>
            </w:r>
          </w:p>
        </w:tc>
        <w:tc>
          <w:tcPr>
            <w:tcW w:w="1100" w:type="dxa"/>
            <w:tcBorders>
              <w:top w:val="nil"/>
              <w:left w:val="nil"/>
              <w:bottom w:val="single" w:sz="4" w:space="0" w:color="auto"/>
              <w:right w:val="single" w:sz="4" w:space="0" w:color="auto"/>
            </w:tcBorders>
            <w:shd w:val="clear" w:color="000000" w:fill="FFFFFF"/>
            <w:noWrap/>
            <w:vAlign w:val="bottom"/>
            <w:hideMark/>
          </w:tcPr>
          <w:p w14:paraId="702CF25C" w14:textId="77777777" w:rsidR="00677B34" w:rsidRPr="004E10B7" w:rsidRDefault="00677B34" w:rsidP="008B5D7F">
            <w:pPr>
              <w:spacing w:after="0" w:line="240" w:lineRule="auto"/>
              <w:ind w:firstLine="0"/>
              <w:jc w:val="center"/>
              <w:rPr>
                <w:rFonts w:ascii="Calibri" w:eastAsia="Times New Roman" w:hAnsi="Calibri" w:cs="Calibri"/>
                <w:lang w:val="es-AR" w:eastAsia="es-AR"/>
              </w:rPr>
            </w:pPr>
            <w:r w:rsidRPr="004E10B7">
              <w:rPr>
                <w:rFonts w:ascii="Calibri" w:eastAsia="Times New Roman" w:hAnsi="Calibri" w:cs="Calibri"/>
                <w:lang w:val="es-AR" w:eastAsia="es-AR"/>
              </w:rPr>
              <w:t>2014</w:t>
            </w:r>
          </w:p>
        </w:tc>
      </w:tr>
      <w:tr w:rsidR="004E10B7" w:rsidRPr="004E10B7" w14:paraId="21EE2538" w14:textId="77777777" w:rsidTr="008A32EC">
        <w:trPr>
          <w:trHeight w:val="300"/>
          <w:jc w:val="center"/>
        </w:trPr>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EF5239" w14:textId="77777777" w:rsidR="00677B34" w:rsidRPr="004E10B7" w:rsidRDefault="00677B34"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CABA</w:t>
            </w:r>
          </w:p>
        </w:tc>
        <w:tc>
          <w:tcPr>
            <w:tcW w:w="1100" w:type="dxa"/>
            <w:tcBorders>
              <w:top w:val="nil"/>
              <w:left w:val="nil"/>
              <w:bottom w:val="single" w:sz="4" w:space="0" w:color="auto"/>
              <w:right w:val="single" w:sz="4" w:space="0" w:color="auto"/>
            </w:tcBorders>
            <w:shd w:val="clear" w:color="000000" w:fill="FFFFFF"/>
            <w:noWrap/>
            <w:vAlign w:val="bottom"/>
            <w:hideMark/>
          </w:tcPr>
          <w:p w14:paraId="0A323212"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2,74</w:t>
            </w:r>
          </w:p>
        </w:tc>
        <w:tc>
          <w:tcPr>
            <w:tcW w:w="1100" w:type="dxa"/>
            <w:tcBorders>
              <w:top w:val="nil"/>
              <w:left w:val="nil"/>
              <w:bottom w:val="single" w:sz="4" w:space="0" w:color="auto"/>
              <w:right w:val="single" w:sz="4" w:space="0" w:color="auto"/>
            </w:tcBorders>
            <w:shd w:val="clear" w:color="000000" w:fill="FFFFFF"/>
            <w:noWrap/>
            <w:vAlign w:val="bottom"/>
            <w:hideMark/>
          </w:tcPr>
          <w:p w14:paraId="42B79C74"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2,58</w:t>
            </w:r>
          </w:p>
        </w:tc>
        <w:tc>
          <w:tcPr>
            <w:tcW w:w="1100" w:type="dxa"/>
            <w:tcBorders>
              <w:top w:val="nil"/>
              <w:left w:val="nil"/>
              <w:bottom w:val="single" w:sz="4" w:space="0" w:color="auto"/>
              <w:right w:val="single" w:sz="4" w:space="0" w:color="auto"/>
            </w:tcBorders>
            <w:shd w:val="clear" w:color="000000" w:fill="FFFFFF"/>
            <w:noWrap/>
            <w:vAlign w:val="bottom"/>
            <w:hideMark/>
          </w:tcPr>
          <w:p w14:paraId="18F9E5A9"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2,61</w:t>
            </w:r>
          </w:p>
        </w:tc>
        <w:tc>
          <w:tcPr>
            <w:tcW w:w="1100" w:type="dxa"/>
            <w:tcBorders>
              <w:top w:val="nil"/>
              <w:left w:val="nil"/>
              <w:bottom w:val="single" w:sz="4" w:space="0" w:color="auto"/>
              <w:right w:val="single" w:sz="4" w:space="0" w:color="auto"/>
            </w:tcBorders>
            <w:shd w:val="clear" w:color="000000" w:fill="FFFFFF"/>
            <w:noWrap/>
            <w:vAlign w:val="bottom"/>
            <w:hideMark/>
          </w:tcPr>
          <w:p w14:paraId="45EC3DDD"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94,34</w:t>
            </w:r>
          </w:p>
        </w:tc>
        <w:tc>
          <w:tcPr>
            <w:tcW w:w="1100" w:type="dxa"/>
            <w:tcBorders>
              <w:top w:val="nil"/>
              <w:left w:val="nil"/>
              <w:bottom w:val="single" w:sz="4" w:space="0" w:color="auto"/>
              <w:right w:val="single" w:sz="4" w:space="0" w:color="auto"/>
            </w:tcBorders>
            <w:shd w:val="clear" w:color="000000" w:fill="FFFFFF"/>
            <w:noWrap/>
            <w:vAlign w:val="bottom"/>
            <w:hideMark/>
          </w:tcPr>
          <w:p w14:paraId="130E2D57"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95,36</w:t>
            </w:r>
          </w:p>
        </w:tc>
      </w:tr>
      <w:tr w:rsidR="004E10B7" w:rsidRPr="004E10B7" w14:paraId="3D26EA99" w14:textId="77777777" w:rsidTr="008A32EC">
        <w:trPr>
          <w:trHeight w:val="300"/>
          <w:jc w:val="center"/>
        </w:trPr>
        <w:tc>
          <w:tcPr>
            <w:tcW w:w="1076" w:type="dxa"/>
            <w:tcBorders>
              <w:top w:val="nil"/>
              <w:left w:val="single" w:sz="4" w:space="0" w:color="auto"/>
              <w:bottom w:val="single" w:sz="4" w:space="0" w:color="auto"/>
              <w:right w:val="single" w:sz="4" w:space="0" w:color="auto"/>
            </w:tcBorders>
            <w:shd w:val="clear" w:color="000000" w:fill="FFFFFF"/>
            <w:noWrap/>
            <w:vAlign w:val="bottom"/>
            <w:hideMark/>
          </w:tcPr>
          <w:p w14:paraId="48169B2D" w14:textId="77777777" w:rsidR="00677B34" w:rsidRPr="004E10B7" w:rsidRDefault="00677B34"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Bs As</w:t>
            </w:r>
          </w:p>
        </w:tc>
        <w:tc>
          <w:tcPr>
            <w:tcW w:w="1100" w:type="dxa"/>
            <w:tcBorders>
              <w:top w:val="nil"/>
              <w:left w:val="nil"/>
              <w:bottom w:val="single" w:sz="4" w:space="0" w:color="auto"/>
              <w:right w:val="single" w:sz="4" w:space="0" w:color="auto"/>
            </w:tcBorders>
            <w:shd w:val="clear" w:color="000000" w:fill="FFFFFF"/>
            <w:noWrap/>
            <w:vAlign w:val="bottom"/>
            <w:hideMark/>
          </w:tcPr>
          <w:p w14:paraId="264BF247"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0,90</w:t>
            </w:r>
          </w:p>
        </w:tc>
        <w:tc>
          <w:tcPr>
            <w:tcW w:w="1100" w:type="dxa"/>
            <w:tcBorders>
              <w:top w:val="nil"/>
              <w:left w:val="nil"/>
              <w:bottom w:val="single" w:sz="4" w:space="0" w:color="auto"/>
              <w:right w:val="single" w:sz="4" w:space="0" w:color="auto"/>
            </w:tcBorders>
            <w:shd w:val="clear" w:color="000000" w:fill="FFFFFF"/>
            <w:noWrap/>
            <w:vAlign w:val="bottom"/>
            <w:hideMark/>
          </w:tcPr>
          <w:p w14:paraId="4A9A5AF8"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0,85</w:t>
            </w:r>
          </w:p>
        </w:tc>
        <w:tc>
          <w:tcPr>
            <w:tcW w:w="1100" w:type="dxa"/>
            <w:tcBorders>
              <w:top w:val="nil"/>
              <w:left w:val="nil"/>
              <w:bottom w:val="single" w:sz="4" w:space="0" w:color="auto"/>
              <w:right w:val="single" w:sz="4" w:space="0" w:color="auto"/>
            </w:tcBorders>
            <w:shd w:val="clear" w:color="000000" w:fill="FFFFFF"/>
            <w:noWrap/>
            <w:vAlign w:val="bottom"/>
            <w:hideMark/>
          </w:tcPr>
          <w:p w14:paraId="1EA0B962"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0,84</w:t>
            </w:r>
          </w:p>
        </w:tc>
        <w:tc>
          <w:tcPr>
            <w:tcW w:w="1100" w:type="dxa"/>
            <w:tcBorders>
              <w:top w:val="nil"/>
              <w:left w:val="nil"/>
              <w:bottom w:val="single" w:sz="4" w:space="0" w:color="auto"/>
              <w:right w:val="single" w:sz="4" w:space="0" w:color="auto"/>
            </w:tcBorders>
            <w:shd w:val="clear" w:color="000000" w:fill="FFFFFF"/>
            <w:noWrap/>
            <w:vAlign w:val="bottom"/>
            <w:hideMark/>
          </w:tcPr>
          <w:p w14:paraId="16F49D8D"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93,91</w:t>
            </w:r>
          </w:p>
        </w:tc>
        <w:tc>
          <w:tcPr>
            <w:tcW w:w="1100" w:type="dxa"/>
            <w:tcBorders>
              <w:top w:val="nil"/>
              <w:left w:val="nil"/>
              <w:bottom w:val="single" w:sz="4" w:space="0" w:color="auto"/>
              <w:right w:val="single" w:sz="4" w:space="0" w:color="auto"/>
            </w:tcBorders>
            <w:shd w:val="clear" w:color="000000" w:fill="FFFFFF"/>
            <w:noWrap/>
            <w:vAlign w:val="bottom"/>
            <w:hideMark/>
          </w:tcPr>
          <w:p w14:paraId="414CDF7F"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92,83</w:t>
            </w:r>
          </w:p>
        </w:tc>
      </w:tr>
      <w:tr w:rsidR="004E10B7" w:rsidRPr="004E10B7" w14:paraId="6361C525" w14:textId="77777777" w:rsidTr="008A32EC">
        <w:trPr>
          <w:trHeight w:val="300"/>
          <w:jc w:val="center"/>
        </w:trPr>
        <w:tc>
          <w:tcPr>
            <w:tcW w:w="1076" w:type="dxa"/>
            <w:tcBorders>
              <w:top w:val="nil"/>
              <w:left w:val="single" w:sz="4" w:space="0" w:color="auto"/>
              <w:bottom w:val="single" w:sz="4" w:space="0" w:color="auto"/>
              <w:right w:val="single" w:sz="4" w:space="0" w:color="auto"/>
            </w:tcBorders>
            <w:shd w:val="clear" w:color="000000" w:fill="FFFFFF"/>
            <w:noWrap/>
            <w:vAlign w:val="bottom"/>
            <w:hideMark/>
          </w:tcPr>
          <w:p w14:paraId="1902B2CC" w14:textId="77777777" w:rsidR="00677B34" w:rsidRPr="004E10B7" w:rsidRDefault="00677B34"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Catam.</w:t>
            </w:r>
          </w:p>
        </w:tc>
        <w:tc>
          <w:tcPr>
            <w:tcW w:w="1100" w:type="dxa"/>
            <w:tcBorders>
              <w:top w:val="nil"/>
              <w:left w:val="nil"/>
              <w:bottom w:val="single" w:sz="4" w:space="0" w:color="auto"/>
              <w:right w:val="single" w:sz="4" w:space="0" w:color="auto"/>
            </w:tcBorders>
            <w:shd w:val="clear" w:color="000000" w:fill="FFFFFF"/>
            <w:noWrap/>
            <w:vAlign w:val="bottom"/>
            <w:hideMark/>
          </w:tcPr>
          <w:p w14:paraId="1791ECF7"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0,64</w:t>
            </w:r>
          </w:p>
        </w:tc>
        <w:tc>
          <w:tcPr>
            <w:tcW w:w="1100" w:type="dxa"/>
            <w:tcBorders>
              <w:top w:val="nil"/>
              <w:left w:val="nil"/>
              <w:bottom w:val="single" w:sz="4" w:space="0" w:color="auto"/>
              <w:right w:val="single" w:sz="4" w:space="0" w:color="auto"/>
            </w:tcBorders>
            <w:shd w:val="clear" w:color="000000" w:fill="FFFFFF"/>
            <w:noWrap/>
            <w:vAlign w:val="bottom"/>
            <w:hideMark/>
          </w:tcPr>
          <w:p w14:paraId="543C83B1"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1,29</w:t>
            </w:r>
          </w:p>
        </w:tc>
        <w:tc>
          <w:tcPr>
            <w:tcW w:w="1100" w:type="dxa"/>
            <w:tcBorders>
              <w:top w:val="nil"/>
              <w:left w:val="nil"/>
              <w:bottom w:val="single" w:sz="4" w:space="0" w:color="auto"/>
              <w:right w:val="single" w:sz="4" w:space="0" w:color="auto"/>
            </w:tcBorders>
            <w:shd w:val="clear" w:color="000000" w:fill="FFFFFF"/>
            <w:noWrap/>
            <w:vAlign w:val="bottom"/>
            <w:hideMark/>
          </w:tcPr>
          <w:p w14:paraId="3094ED7A"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1,38</w:t>
            </w:r>
          </w:p>
        </w:tc>
        <w:tc>
          <w:tcPr>
            <w:tcW w:w="1100" w:type="dxa"/>
            <w:tcBorders>
              <w:top w:val="nil"/>
              <w:left w:val="nil"/>
              <w:bottom w:val="single" w:sz="4" w:space="0" w:color="auto"/>
              <w:right w:val="single" w:sz="4" w:space="0" w:color="auto"/>
            </w:tcBorders>
            <w:shd w:val="clear" w:color="000000" w:fill="FFFFFF"/>
            <w:noWrap/>
            <w:vAlign w:val="bottom"/>
            <w:hideMark/>
          </w:tcPr>
          <w:p w14:paraId="5C67226E"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201,27</w:t>
            </w:r>
          </w:p>
        </w:tc>
        <w:tc>
          <w:tcPr>
            <w:tcW w:w="1100" w:type="dxa"/>
            <w:tcBorders>
              <w:top w:val="nil"/>
              <w:left w:val="nil"/>
              <w:bottom w:val="single" w:sz="4" w:space="0" w:color="auto"/>
              <w:right w:val="single" w:sz="4" w:space="0" w:color="auto"/>
            </w:tcBorders>
            <w:shd w:val="clear" w:color="000000" w:fill="FFFFFF"/>
            <w:noWrap/>
            <w:vAlign w:val="bottom"/>
            <w:hideMark/>
          </w:tcPr>
          <w:p w14:paraId="7BA0D03E"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215,09</w:t>
            </w:r>
          </w:p>
        </w:tc>
      </w:tr>
      <w:tr w:rsidR="004E10B7" w:rsidRPr="004E10B7" w14:paraId="63E8BAF6" w14:textId="77777777" w:rsidTr="008A32EC">
        <w:trPr>
          <w:trHeight w:val="300"/>
          <w:jc w:val="center"/>
        </w:trPr>
        <w:tc>
          <w:tcPr>
            <w:tcW w:w="1076" w:type="dxa"/>
            <w:tcBorders>
              <w:top w:val="nil"/>
              <w:left w:val="single" w:sz="4" w:space="0" w:color="auto"/>
              <w:bottom w:val="single" w:sz="4" w:space="0" w:color="auto"/>
              <w:right w:val="single" w:sz="4" w:space="0" w:color="auto"/>
            </w:tcBorders>
            <w:shd w:val="clear" w:color="000000" w:fill="FFFFFF"/>
            <w:noWrap/>
            <w:vAlign w:val="bottom"/>
            <w:hideMark/>
          </w:tcPr>
          <w:p w14:paraId="38D50890" w14:textId="77777777" w:rsidR="00677B34" w:rsidRPr="004E10B7" w:rsidRDefault="00677B34"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Cba</w:t>
            </w:r>
          </w:p>
        </w:tc>
        <w:tc>
          <w:tcPr>
            <w:tcW w:w="1100" w:type="dxa"/>
            <w:tcBorders>
              <w:top w:val="nil"/>
              <w:left w:val="nil"/>
              <w:bottom w:val="single" w:sz="4" w:space="0" w:color="auto"/>
              <w:right w:val="single" w:sz="4" w:space="0" w:color="auto"/>
            </w:tcBorders>
            <w:shd w:val="clear" w:color="000000" w:fill="FFFFFF"/>
            <w:noWrap/>
            <w:vAlign w:val="bottom"/>
            <w:hideMark/>
          </w:tcPr>
          <w:p w14:paraId="5FB65A45"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0,94</w:t>
            </w:r>
          </w:p>
        </w:tc>
        <w:tc>
          <w:tcPr>
            <w:tcW w:w="1100" w:type="dxa"/>
            <w:tcBorders>
              <w:top w:val="nil"/>
              <w:left w:val="nil"/>
              <w:bottom w:val="single" w:sz="4" w:space="0" w:color="auto"/>
              <w:right w:val="single" w:sz="4" w:space="0" w:color="auto"/>
            </w:tcBorders>
            <w:shd w:val="clear" w:color="000000" w:fill="FFFFFF"/>
            <w:noWrap/>
            <w:vAlign w:val="bottom"/>
            <w:hideMark/>
          </w:tcPr>
          <w:p w14:paraId="71B200B9"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0,92</w:t>
            </w:r>
          </w:p>
        </w:tc>
        <w:tc>
          <w:tcPr>
            <w:tcW w:w="1100" w:type="dxa"/>
            <w:tcBorders>
              <w:top w:val="nil"/>
              <w:left w:val="nil"/>
              <w:bottom w:val="single" w:sz="4" w:space="0" w:color="auto"/>
              <w:right w:val="single" w:sz="4" w:space="0" w:color="auto"/>
            </w:tcBorders>
            <w:shd w:val="clear" w:color="000000" w:fill="FFFFFF"/>
            <w:noWrap/>
            <w:vAlign w:val="bottom"/>
            <w:hideMark/>
          </w:tcPr>
          <w:p w14:paraId="54D2BC7B"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0,86</w:t>
            </w:r>
          </w:p>
        </w:tc>
        <w:tc>
          <w:tcPr>
            <w:tcW w:w="1100" w:type="dxa"/>
            <w:tcBorders>
              <w:top w:val="nil"/>
              <w:left w:val="nil"/>
              <w:bottom w:val="single" w:sz="4" w:space="0" w:color="auto"/>
              <w:right w:val="single" w:sz="4" w:space="0" w:color="auto"/>
            </w:tcBorders>
            <w:shd w:val="clear" w:color="000000" w:fill="FFFFFF"/>
            <w:noWrap/>
            <w:vAlign w:val="bottom"/>
            <w:hideMark/>
          </w:tcPr>
          <w:p w14:paraId="33959D84"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97,12</w:t>
            </w:r>
          </w:p>
        </w:tc>
        <w:tc>
          <w:tcPr>
            <w:tcW w:w="1100" w:type="dxa"/>
            <w:tcBorders>
              <w:top w:val="nil"/>
              <w:left w:val="nil"/>
              <w:bottom w:val="single" w:sz="4" w:space="0" w:color="auto"/>
              <w:right w:val="single" w:sz="4" w:space="0" w:color="auto"/>
            </w:tcBorders>
            <w:shd w:val="clear" w:color="000000" w:fill="FFFFFF"/>
            <w:noWrap/>
            <w:vAlign w:val="bottom"/>
            <w:hideMark/>
          </w:tcPr>
          <w:p w14:paraId="0DC89AD6"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91,66</w:t>
            </w:r>
          </w:p>
        </w:tc>
      </w:tr>
      <w:tr w:rsidR="004E10B7" w:rsidRPr="004E10B7" w14:paraId="238E6ABB" w14:textId="77777777" w:rsidTr="008A32EC">
        <w:trPr>
          <w:trHeight w:val="300"/>
          <w:jc w:val="center"/>
        </w:trPr>
        <w:tc>
          <w:tcPr>
            <w:tcW w:w="1076" w:type="dxa"/>
            <w:tcBorders>
              <w:top w:val="nil"/>
              <w:left w:val="single" w:sz="4" w:space="0" w:color="auto"/>
              <w:bottom w:val="single" w:sz="4" w:space="0" w:color="auto"/>
              <w:right w:val="single" w:sz="4" w:space="0" w:color="auto"/>
            </w:tcBorders>
            <w:shd w:val="clear" w:color="000000" w:fill="FFFFFF"/>
            <w:noWrap/>
            <w:vAlign w:val="bottom"/>
            <w:hideMark/>
          </w:tcPr>
          <w:p w14:paraId="72596A8C" w14:textId="77777777" w:rsidR="00677B34" w:rsidRPr="004E10B7" w:rsidRDefault="00677B34"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Corri.</w:t>
            </w:r>
          </w:p>
        </w:tc>
        <w:tc>
          <w:tcPr>
            <w:tcW w:w="1100" w:type="dxa"/>
            <w:tcBorders>
              <w:top w:val="nil"/>
              <w:left w:val="nil"/>
              <w:bottom w:val="single" w:sz="4" w:space="0" w:color="auto"/>
              <w:right w:val="single" w:sz="4" w:space="0" w:color="auto"/>
            </w:tcBorders>
            <w:shd w:val="clear" w:color="000000" w:fill="FFFFFF"/>
            <w:noWrap/>
            <w:vAlign w:val="bottom"/>
            <w:hideMark/>
          </w:tcPr>
          <w:p w14:paraId="6B596E60"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0,55</w:t>
            </w:r>
          </w:p>
        </w:tc>
        <w:tc>
          <w:tcPr>
            <w:tcW w:w="1100" w:type="dxa"/>
            <w:tcBorders>
              <w:top w:val="nil"/>
              <w:left w:val="nil"/>
              <w:bottom w:val="single" w:sz="4" w:space="0" w:color="auto"/>
              <w:right w:val="single" w:sz="4" w:space="0" w:color="auto"/>
            </w:tcBorders>
            <w:shd w:val="clear" w:color="000000" w:fill="FFFFFF"/>
            <w:noWrap/>
            <w:vAlign w:val="bottom"/>
            <w:hideMark/>
          </w:tcPr>
          <w:p w14:paraId="60EC39E8"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0,43</w:t>
            </w:r>
          </w:p>
        </w:tc>
        <w:tc>
          <w:tcPr>
            <w:tcW w:w="1100" w:type="dxa"/>
            <w:tcBorders>
              <w:top w:val="nil"/>
              <w:left w:val="nil"/>
              <w:bottom w:val="single" w:sz="4" w:space="0" w:color="auto"/>
              <w:right w:val="single" w:sz="4" w:space="0" w:color="auto"/>
            </w:tcBorders>
            <w:shd w:val="clear" w:color="000000" w:fill="FFFFFF"/>
            <w:noWrap/>
            <w:vAlign w:val="bottom"/>
            <w:hideMark/>
          </w:tcPr>
          <w:p w14:paraId="61765BCF"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0,46</w:t>
            </w:r>
          </w:p>
        </w:tc>
        <w:tc>
          <w:tcPr>
            <w:tcW w:w="1100" w:type="dxa"/>
            <w:tcBorders>
              <w:top w:val="nil"/>
              <w:left w:val="nil"/>
              <w:bottom w:val="single" w:sz="4" w:space="0" w:color="auto"/>
              <w:right w:val="single" w:sz="4" w:space="0" w:color="auto"/>
            </w:tcBorders>
            <w:shd w:val="clear" w:color="000000" w:fill="FFFFFF"/>
            <w:noWrap/>
            <w:vAlign w:val="bottom"/>
            <w:hideMark/>
          </w:tcPr>
          <w:p w14:paraId="14AD0EEF"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76,90</w:t>
            </w:r>
          </w:p>
        </w:tc>
        <w:tc>
          <w:tcPr>
            <w:tcW w:w="1100" w:type="dxa"/>
            <w:tcBorders>
              <w:top w:val="nil"/>
              <w:left w:val="nil"/>
              <w:bottom w:val="single" w:sz="4" w:space="0" w:color="auto"/>
              <w:right w:val="single" w:sz="4" w:space="0" w:color="auto"/>
            </w:tcBorders>
            <w:shd w:val="clear" w:color="000000" w:fill="FFFFFF"/>
            <w:noWrap/>
            <w:vAlign w:val="bottom"/>
            <w:hideMark/>
          </w:tcPr>
          <w:p w14:paraId="4E22AE88"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83,65</w:t>
            </w:r>
          </w:p>
        </w:tc>
      </w:tr>
      <w:tr w:rsidR="004E10B7" w:rsidRPr="004E10B7" w14:paraId="6DBE2443" w14:textId="77777777" w:rsidTr="008A32EC">
        <w:trPr>
          <w:trHeight w:val="300"/>
          <w:jc w:val="center"/>
        </w:trPr>
        <w:tc>
          <w:tcPr>
            <w:tcW w:w="1076" w:type="dxa"/>
            <w:tcBorders>
              <w:top w:val="nil"/>
              <w:left w:val="single" w:sz="4" w:space="0" w:color="auto"/>
              <w:bottom w:val="single" w:sz="4" w:space="0" w:color="auto"/>
              <w:right w:val="single" w:sz="4" w:space="0" w:color="auto"/>
            </w:tcBorders>
            <w:shd w:val="clear" w:color="000000" w:fill="FFFFFF"/>
            <w:noWrap/>
            <w:vAlign w:val="bottom"/>
            <w:hideMark/>
          </w:tcPr>
          <w:p w14:paraId="29A13AD0" w14:textId="77777777" w:rsidR="00677B34" w:rsidRPr="004E10B7" w:rsidRDefault="00677B34"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Chaco</w:t>
            </w:r>
          </w:p>
        </w:tc>
        <w:tc>
          <w:tcPr>
            <w:tcW w:w="1100" w:type="dxa"/>
            <w:tcBorders>
              <w:top w:val="nil"/>
              <w:left w:val="nil"/>
              <w:bottom w:val="single" w:sz="4" w:space="0" w:color="auto"/>
              <w:right w:val="single" w:sz="4" w:space="0" w:color="auto"/>
            </w:tcBorders>
            <w:shd w:val="clear" w:color="000000" w:fill="FFFFFF"/>
            <w:noWrap/>
            <w:vAlign w:val="bottom"/>
            <w:hideMark/>
          </w:tcPr>
          <w:p w14:paraId="2959FDDA"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0,49</w:t>
            </w:r>
          </w:p>
        </w:tc>
        <w:tc>
          <w:tcPr>
            <w:tcW w:w="1100" w:type="dxa"/>
            <w:tcBorders>
              <w:top w:val="nil"/>
              <w:left w:val="nil"/>
              <w:bottom w:val="single" w:sz="4" w:space="0" w:color="auto"/>
              <w:right w:val="single" w:sz="4" w:space="0" w:color="auto"/>
            </w:tcBorders>
            <w:shd w:val="clear" w:color="000000" w:fill="FFFFFF"/>
            <w:noWrap/>
            <w:vAlign w:val="bottom"/>
            <w:hideMark/>
          </w:tcPr>
          <w:p w14:paraId="7C6C6830"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0,43</w:t>
            </w:r>
          </w:p>
        </w:tc>
        <w:tc>
          <w:tcPr>
            <w:tcW w:w="1100" w:type="dxa"/>
            <w:tcBorders>
              <w:top w:val="nil"/>
              <w:left w:val="nil"/>
              <w:bottom w:val="single" w:sz="4" w:space="0" w:color="auto"/>
              <w:right w:val="single" w:sz="4" w:space="0" w:color="auto"/>
            </w:tcBorders>
            <w:shd w:val="clear" w:color="000000" w:fill="FFFFFF"/>
            <w:noWrap/>
            <w:vAlign w:val="bottom"/>
            <w:hideMark/>
          </w:tcPr>
          <w:p w14:paraId="65E5EB07"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0,54</w:t>
            </w:r>
          </w:p>
        </w:tc>
        <w:tc>
          <w:tcPr>
            <w:tcW w:w="1100" w:type="dxa"/>
            <w:tcBorders>
              <w:top w:val="nil"/>
              <w:left w:val="nil"/>
              <w:bottom w:val="single" w:sz="4" w:space="0" w:color="auto"/>
              <w:right w:val="single" w:sz="4" w:space="0" w:color="auto"/>
            </w:tcBorders>
            <w:shd w:val="clear" w:color="000000" w:fill="FFFFFF"/>
            <w:noWrap/>
            <w:vAlign w:val="bottom"/>
            <w:hideMark/>
          </w:tcPr>
          <w:p w14:paraId="40765378"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87,04</w:t>
            </w:r>
          </w:p>
        </w:tc>
        <w:tc>
          <w:tcPr>
            <w:tcW w:w="1100" w:type="dxa"/>
            <w:tcBorders>
              <w:top w:val="nil"/>
              <w:left w:val="nil"/>
              <w:bottom w:val="single" w:sz="4" w:space="0" w:color="auto"/>
              <w:right w:val="single" w:sz="4" w:space="0" w:color="auto"/>
            </w:tcBorders>
            <w:shd w:val="clear" w:color="000000" w:fill="FFFFFF"/>
            <w:noWrap/>
            <w:vAlign w:val="bottom"/>
            <w:hideMark/>
          </w:tcPr>
          <w:p w14:paraId="166CF9F7"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111,10</w:t>
            </w:r>
          </w:p>
        </w:tc>
      </w:tr>
      <w:tr w:rsidR="004E10B7" w:rsidRPr="004E10B7" w14:paraId="0D308EE8" w14:textId="77777777" w:rsidTr="008A32EC">
        <w:trPr>
          <w:trHeight w:val="300"/>
          <w:jc w:val="center"/>
        </w:trPr>
        <w:tc>
          <w:tcPr>
            <w:tcW w:w="1076" w:type="dxa"/>
            <w:tcBorders>
              <w:top w:val="nil"/>
              <w:left w:val="single" w:sz="4" w:space="0" w:color="auto"/>
              <w:bottom w:val="single" w:sz="4" w:space="0" w:color="auto"/>
              <w:right w:val="single" w:sz="4" w:space="0" w:color="auto"/>
            </w:tcBorders>
            <w:shd w:val="clear" w:color="000000" w:fill="FFFFFF"/>
            <w:noWrap/>
            <w:vAlign w:val="bottom"/>
            <w:hideMark/>
          </w:tcPr>
          <w:p w14:paraId="32820CA3" w14:textId="77777777" w:rsidR="00677B34" w:rsidRPr="004E10B7" w:rsidRDefault="00677B34"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Chubut</w:t>
            </w:r>
          </w:p>
        </w:tc>
        <w:tc>
          <w:tcPr>
            <w:tcW w:w="1100" w:type="dxa"/>
            <w:tcBorders>
              <w:top w:val="nil"/>
              <w:left w:val="nil"/>
              <w:bottom w:val="single" w:sz="4" w:space="0" w:color="auto"/>
              <w:right w:val="single" w:sz="4" w:space="0" w:color="auto"/>
            </w:tcBorders>
            <w:shd w:val="clear" w:color="000000" w:fill="FFFFFF"/>
            <w:noWrap/>
            <w:vAlign w:val="bottom"/>
            <w:hideMark/>
          </w:tcPr>
          <w:p w14:paraId="422B8B14"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1,20</w:t>
            </w:r>
          </w:p>
        </w:tc>
        <w:tc>
          <w:tcPr>
            <w:tcW w:w="1100" w:type="dxa"/>
            <w:tcBorders>
              <w:top w:val="nil"/>
              <w:left w:val="nil"/>
              <w:bottom w:val="single" w:sz="4" w:space="0" w:color="auto"/>
              <w:right w:val="single" w:sz="4" w:space="0" w:color="auto"/>
            </w:tcBorders>
            <w:shd w:val="clear" w:color="000000" w:fill="FFFFFF"/>
            <w:noWrap/>
            <w:vAlign w:val="bottom"/>
            <w:hideMark/>
          </w:tcPr>
          <w:p w14:paraId="1B834B25"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1,62</w:t>
            </w:r>
          </w:p>
        </w:tc>
        <w:tc>
          <w:tcPr>
            <w:tcW w:w="1100" w:type="dxa"/>
            <w:tcBorders>
              <w:top w:val="nil"/>
              <w:left w:val="nil"/>
              <w:bottom w:val="single" w:sz="4" w:space="0" w:color="auto"/>
              <w:right w:val="single" w:sz="4" w:space="0" w:color="auto"/>
            </w:tcBorders>
            <w:shd w:val="clear" w:color="000000" w:fill="FFFFFF"/>
            <w:noWrap/>
            <w:vAlign w:val="bottom"/>
            <w:hideMark/>
          </w:tcPr>
          <w:p w14:paraId="16E68BDB"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1,49</w:t>
            </w:r>
          </w:p>
        </w:tc>
        <w:tc>
          <w:tcPr>
            <w:tcW w:w="1100" w:type="dxa"/>
            <w:tcBorders>
              <w:top w:val="nil"/>
              <w:left w:val="nil"/>
              <w:bottom w:val="single" w:sz="4" w:space="0" w:color="auto"/>
              <w:right w:val="single" w:sz="4" w:space="0" w:color="auto"/>
            </w:tcBorders>
            <w:shd w:val="clear" w:color="000000" w:fill="FFFFFF"/>
            <w:noWrap/>
            <w:vAlign w:val="bottom"/>
            <w:hideMark/>
          </w:tcPr>
          <w:p w14:paraId="259019FE"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135,65</w:t>
            </w:r>
          </w:p>
        </w:tc>
        <w:tc>
          <w:tcPr>
            <w:tcW w:w="1100" w:type="dxa"/>
            <w:tcBorders>
              <w:top w:val="nil"/>
              <w:left w:val="nil"/>
              <w:bottom w:val="single" w:sz="4" w:space="0" w:color="auto"/>
              <w:right w:val="single" w:sz="4" w:space="0" w:color="auto"/>
            </w:tcBorders>
            <w:shd w:val="clear" w:color="000000" w:fill="FFFFFF"/>
            <w:noWrap/>
            <w:vAlign w:val="bottom"/>
            <w:hideMark/>
          </w:tcPr>
          <w:p w14:paraId="2441D90D"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124,25</w:t>
            </w:r>
          </w:p>
        </w:tc>
      </w:tr>
      <w:tr w:rsidR="004E10B7" w:rsidRPr="004E10B7" w14:paraId="468C8C3C" w14:textId="77777777" w:rsidTr="008A32EC">
        <w:trPr>
          <w:trHeight w:val="300"/>
          <w:jc w:val="center"/>
        </w:trPr>
        <w:tc>
          <w:tcPr>
            <w:tcW w:w="1076" w:type="dxa"/>
            <w:tcBorders>
              <w:top w:val="nil"/>
              <w:left w:val="single" w:sz="4" w:space="0" w:color="auto"/>
              <w:bottom w:val="single" w:sz="4" w:space="0" w:color="auto"/>
              <w:right w:val="single" w:sz="4" w:space="0" w:color="auto"/>
            </w:tcBorders>
            <w:shd w:val="clear" w:color="000000" w:fill="FFFFFF"/>
            <w:noWrap/>
            <w:vAlign w:val="bottom"/>
            <w:hideMark/>
          </w:tcPr>
          <w:p w14:paraId="1AE72330" w14:textId="77777777" w:rsidR="00677B34" w:rsidRPr="004E10B7" w:rsidRDefault="00677B34"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Entre R.</w:t>
            </w:r>
          </w:p>
        </w:tc>
        <w:tc>
          <w:tcPr>
            <w:tcW w:w="1100" w:type="dxa"/>
            <w:tcBorders>
              <w:top w:val="nil"/>
              <w:left w:val="nil"/>
              <w:bottom w:val="single" w:sz="4" w:space="0" w:color="auto"/>
              <w:right w:val="single" w:sz="4" w:space="0" w:color="auto"/>
            </w:tcBorders>
            <w:shd w:val="clear" w:color="000000" w:fill="FFFFFF"/>
            <w:noWrap/>
            <w:vAlign w:val="bottom"/>
            <w:hideMark/>
          </w:tcPr>
          <w:p w14:paraId="303DB82A"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0,70</w:t>
            </w:r>
          </w:p>
        </w:tc>
        <w:tc>
          <w:tcPr>
            <w:tcW w:w="1100" w:type="dxa"/>
            <w:tcBorders>
              <w:top w:val="nil"/>
              <w:left w:val="nil"/>
              <w:bottom w:val="single" w:sz="4" w:space="0" w:color="auto"/>
              <w:right w:val="single" w:sz="4" w:space="0" w:color="auto"/>
            </w:tcBorders>
            <w:shd w:val="clear" w:color="000000" w:fill="FFFFFF"/>
            <w:noWrap/>
            <w:vAlign w:val="bottom"/>
            <w:hideMark/>
          </w:tcPr>
          <w:p w14:paraId="4ACEE0EC"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0,61</w:t>
            </w:r>
          </w:p>
        </w:tc>
        <w:tc>
          <w:tcPr>
            <w:tcW w:w="1100" w:type="dxa"/>
            <w:tcBorders>
              <w:top w:val="nil"/>
              <w:left w:val="nil"/>
              <w:bottom w:val="single" w:sz="4" w:space="0" w:color="auto"/>
              <w:right w:val="single" w:sz="4" w:space="0" w:color="auto"/>
            </w:tcBorders>
            <w:shd w:val="clear" w:color="000000" w:fill="FFFFFF"/>
            <w:noWrap/>
            <w:vAlign w:val="bottom"/>
            <w:hideMark/>
          </w:tcPr>
          <w:p w14:paraId="7D97AA61"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0,64</w:t>
            </w:r>
          </w:p>
        </w:tc>
        <w:tc>
          <w:tcPr>
            <w:tcW w:w="1100" w:type="dxa"/>
            <w:tcBorders>
              <w:top w:val="nil"/>
              <w:left w:val="nil"/>
              <w:bottom w:val="single" w:sz="4" w:space="0" w:color="auto"/>
              <w:right w:val="single" w:sz="4" w:space="0" w:color="auto"/>
            </w:tcBorders>
            <w:shd w:val="clear" w:color="000000" w:fill="FFFFFF"/>
            <w:noWrap/>
            <w:vAlign w:val="bottom"/>
            <w:hideMark/>
          </w:tcPr>
          <w:p w14:paraId="3E70339D"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87,55</w:t>
            </w:r>
          </w:p>
        </w:tc>
        <w:tc>
          <w:tcPr>
            <w:tcW w:w="1100" w:type="dxa"/>
            <w:tcBorders>
              <w:top w:val="nil"/>
              <w:left w:val="nil"/>
              <w:bottom w:val="single" w:sz="4" w:space="0" w:color="auto"/>
              <w:right w:val="single" w:sz="4" w:space="0" w:color="auto"/>
            </w:tcBorders>
            <w:shd w:val="clear" w:color="000000" w:fill="FFFFFF"/>
            <w:noWrap/>
            <w:vAlign w:val="bottom"/>
            <w:hideMark/>
          </w:tcPr>
          <w:p w14:paraId="7178E8EC"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92,35</w:t>
            </w:r>
          </w:p>
        </w:tc>
      </w:tr>
      <w:tr w:rsidR="004E10B7" w:rsidRPr="004E10B7" w14:paraId="60AE2978" w14:textId="77777777" w:rsidTr="008A32EC">
        <w:trPr>
          <w:trHeight w:val="300"/>
          <w:jc w:val="center"/>
        </w:trPr>
        <w:tc>
          <w:tcPr>
            <w:tcW w:w="1076" w:type="dxa"/>
            <w:tcBorders>
              <w:top w:val="nil"/>
              <w:left w:val="single" w:sz="4" w:space="0" w:color="auto"/>
              <w:bottom w:val="single" w:sz="4" w:space="0" w:color="auto"/>
              <w:right w:val="single" w:sz="4" w:space="0" w:color="auto"/>
            </w:tcBorders>
            <w:shd w:val="clear" w:color="000000" w:fill="FFFFFF"/>
            <w:noWrap/>
            <w:vAlign w:val="bottom"/>
            <w:hideMark/>
          </w:tcPr>
          <w:p w14:paraId="18ECC639" w14:textId="77777777" w:rsidR="00677B34" w:rsidRPr="004E10B7" w:rsidRDefault="00677B34"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Form.</w:t>
            </w:r>
          </w:p>
        </w:tc>
        <w:tc>
          <w:tcPr>
            <w:tcW w:w="1100" w:type="dxa"/>
            <w:tcBorders>
              <w:top w:val="nil"/>
              <w:left w:val="nil"/>
              <w:bottom w:val="single" w:sz="4" w:space="0" w:color="auto"/>
              <w:right w:val="single" w:sz="4" w:space="0" w:color="auto"/>
            </w:tcBorders>
            <w:shd w:val="clear" w:color="000000" w:fill="FFFFFF"/>
            <w:noWrap/>
            <w:vAlign w:val="bottom"/>
            <w:hideMark/>
          </w:tcPr>
          <w:p w14:paraId="4E7D25D0"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0,48</w:t>
            </w:r>
          </w:p>
        </w:tc>
        <w:tc>
          <w:tcPr>
            <w:tcW w:w="1100" w:type="dxa"/>
            <w:tcBorders>
              <w:top w:val="nil"/>
              <w:left w:val="nil"/>
              <w:bottom w:val="single" w:sz="4" w:space="0" w:color="auto"/>
              <w:right w:val="single" w:sz="4" w:space="0" w:color="auto"/>
            </w:tcBorders>
            <w:shd w:val="clear" w:color="000000" w:fill="FFFFFF"/>
            <w:noWrap/>
            <w:vAlign w:val="bottom"/>
            <w:hideMark/>
          </w:tcPr>
          <w:p w14:paraId="322083BD"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0,36</w:t>
            </w:r>
          </w:p>
        </w:tc>
        <w:tc>
          <w:tcPr>
            <w:tcW w:w="1100" w:type="dxa"/>
            <w:tcBorders>
              <w:top w:val="nil"/>
              <w:left w:val="nil"/>
              <w:bottom w:val="single" w:sz="4" w:space="0" w:color="auto"/>
              <w:right w:val="single" w:sz="4" w:space="0" w:color="auto"/>
            </w:tcBorders>
            <w:shd w:val="clear" w:color="000000" w:fill="FFFFFF"/>
            <w:noWrap/>
            <w:vAlign w:val="bottom"/>
            <w:hideMark/>
          </w:tcPr>
          <w:p w14:paraId="246AC812"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0,43</w:t>
            </w:r>
          </w:p>
        </w:tc>
        <w:tc>
          <w:tcPr>
            <w:tcW w:w="1100" w:type="dxa"/>
            <w:tcBorders>
              <w:top w:val="nil"/>
              <w:left w:val="nil"/>
              <w:bottom w:val="single" w:sz="4" w:space="0" w:color="auto"/>
              <w:right w:val="single" w:sz="4" w:space="0" w:color="auto"/>
            </w:tcBorders>
            <w:shd w:val="clear" w:color="000000" w:fill="FFFFFF"/>
            <w:noWrap/>
            <w:vAlign w:val="bottom"/>
            <w:hideMark/>
          </w:tcPr>
          <w:p w14:paraId="2F8A2F49"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74,62</w:t>
            </w:r>
          </w:p>
        </w:tc>
        <w:tc>
          <w:tcPr>
            <w:tcW w:w="1100" w:type="dxa"/>
            <w:tcBorders>
              <w:top w:val="nil"/>
              <w:left w:val="nil"/>
              <w:bottom w:val="single" w:sz="4" w:space="0" w:color="auto"/>
              <w:right w:val="single" w:sz="4" w:space="0" w:color="auto"/>
            </w:tcBorders>
            <w:shd w:val="clear" w:color="000000" w:fill="FFFFFF"/>
            <w:noWrap/>
            <w:vAlign w:val="bottom"/>
            <w:hideMark/>
          </w:tcPr>
          <w:p w14:paraId="6344C7B4"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91,19</w:t>
            </w:r>
          </w:p>
        </w:tc>
      </w:tr>
      <w:tr w:rsidR="004E10B7" w:rsidRPr="004E10B7" w14:paraId="0F3C2FB7" w14:textId="77777777" w:rsidTr="008A32EC">
        <w:trPr>
          <w:trHeight w:val="300"/>
          <w:jc w:val="center"/>
        </w:trPr>
        <w:tc>
          <w:tcPr>
            <w:tcW w:w="1076" w:type="dxa"/>
            <w:tcBorders>
              <w:top w:val="nil"/>
              <w:left w:val="single" w:sz="4" w:space="0" w:color="auto"/>
              <w:bottom w:val="single" w:sz="4" w:space="0" w:color="auto"/>
              <w:right w:val="single" w:sz="4" w:space="0" w:color="auto"/>
            </w:tcBorders>
            <w:shd w:val="clear" w:color="000000" w:fill="FFFFFF"/>
            <w:noWrap/>
            <w:vAlign w:val="bottom"/>
            <w:hideMark/>
          </w:tcPr>
          <w:p w14:paraId="1479BBB6" w14:textId="77777777" w:rsidR="00677B34" w:rsidRPr="004E10B7" w:rsidRDefault="00677B34"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Jujuy</w:t>
            </w:r>
          </w:p>
        </w:tc>
        <w:tc>
          <w:tcPr>
            <w:tcW w:w="1100" w:type="dxa"/>
            <w:tcBorders>
              <w:top w:val="nil"/>
              <w:left w:val="nil"/>
              <w:bottom w:val="single" w:sz="4" w:space="0" w:color="auto"/>
              <w:right w:val="single" w:sz="4" w:space="0" w:color="auto"/>
            </w:tcBorders>
            <w:shd w:val="clear" w:color="000000" w:fill="FFFFFF"/>
            <w:noWrap/>
            <w:vAlign w:val="bottom"/>
            <w:hideMark/>
          </w:tcPr>
          <w:p w14:paraId="1D22E3CD"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0,55</w:t>
            </w:r>
          </w:p>
        </w:tc>
        <w:tc>
          <w:tcPr>
            <w:tcW w:w="1100" w:type="dxa"/>
            <w:tcBorders>
              <w:top w:val="nil"/>
              <w:left w:val="nil"/>
              <w:bottom w:val="single" w:sz="4" w:space="0" w:color="auto"/>
              <w:right w:val="single" w:sz="4" w:space="0" w:color="auto"/>
            </w:tcBorders>
            <w:shd w:val="clear" w:color="000000" w:fill="FFFFFF"/>
            <w:noWrap/>
            <w:vAlign w:val="bottom"/>
            <w:hideMark/>
          </w:tcPr>
          <w:p w14:paraId="5E89E92A"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0,47</w:t>
            </w:r>
          </w:p>
        </w:tc>
        <w:tc>
          <w:tcPr>
            <w:tcW w:w="1100" w:type="dxa"/>
            <w:tcBorders>
              <w:top w:val="nil"/>
              <w:left w:val="nil"/>
              <w:bottom w:val="single" w:sz="4" w:space="0" w:color="auto"/>
              <w:right w:val="single" w:sz="4" w:space="0" w:color="auto"/>
            </w:tcBorders>
            <w:shd w:val="clear" w:color="000000" w:fill="FFFFFF"/>
            <w:noWrap/>
            <w:vAlign w:val="bottom"/>
            <w:hideMark/>
          </w:tcPr>
          <w:p w14:paraId="6BC2EB36"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0,48</w:t>
            </w:r>
          </w:p>
        </w:tc>
        <w:tc>
          <w:tcPr>
            <w:tcW w:w="1100" w:type="dxa"/>
            <w:tcBorders>
              <w:top w:val="nil"/>
              <w:left w:val="nil"/>
              <w:bottom w:val="single" w:sz="4" w:space="0" w:color="auto"/>
              <w:right w:val="single" w:sz="4" w:space="0" w:color="auto"/>
            </w:tcBorders>
            <w:shd w:val="clear" w:color="000000" w:fill="FFFFFF"/>
            <w:noWrap/>
            <w:vAlign w:val="bottom"/>
            <w:hideMark/>
          </w:tcPr>
          <w:p w14:paraId="2FC67998"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84,46</w:t>
            </w:r>
          </w:p>
        </w:tc>
        <w:tc>
          <w:tcPr>
            <w:tcW w:w="1100" w:type="dxa"/>
            <w:tcBorders>
              <w:top w:val="nil"/>
              <w:left w:val="nil"/>
              <w:bottom w:val="single" w:sz="4" w:space="0" w:color="auto"/>
              <w:right w:val="single" w:sz="4" w:space="0" w:color="auto"/>
            </w:tcBorders>
            <w:shd w:val="clear" w:color="000000" w:fill="FFFFFF"/>
            <w:noWrap/>
            <w:vAlign w:val="bottom"/>
            <w:hideMark/>
          </w:tcPr>
          <w:p w14:paraId="6C33832C"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87,10</w:t>
            </w:r>
          </w:p>
        </w:tc>
      </w:tr>
      <w:tr w:rsidR="004E10B7" w:rsidRPr="004E10B7" w14:paraId="7809F70E" w14:textId="77777777" w:rsidTr="008A32EC">
        <w:trPr>
          <w:trHeight w:val="300"/>
          <w:jc w:val="center"/>
        </w:trPr>
        <w:tc>
          <w:tcPr>
            <w:tcW w:w="1076" w:type="dxa"/>
            <w:tcBorders>
              <w:top w:val="nil"/>
              <w:left w:val="single" w:sz="4" w:space="0" w:color="auto"/>
              <w:bottom w:val="single" w:sz="4" w:space="0" w:color="auto"/>
              <w:right w:val="single" w:sz="4" w:space="0" w:color="auto"/>
            </w:tcBorders>
            <w:shd w:val="clear" w:color="000000" w:fill="FFFFFF"/>
            <w:noWrap/>
            <w:vAlign w:val="bottom"/>
            <w:hideMark/>
          </w:tcPr>
          <w:p w14:paraId="12FF355B" w14:textId="77777777" w:rsidR="00677B34" w:rsidRPr="004E10B7" w:rsidRDefault="00677B34"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La Pampa</w:t>
            </w:r>
          </w:p>
        </w:tc>
        <w:tc>
          <w:tcPr>
            <w:tcW w:w="1100" w:type="dxa"/>
            <w:tcBorders>
              <w:top w:val="nil"/>
              <w:left w:val="nil"/>
              <w:bottom w:val="single" w:sz="4" w:space="0" w:color="auto"/>
              <w:right w:val="single" w:sz="4" w:space="0" w:color="auto"/>
            </w:tcBorders>
            <w:shd w:val="clear" w:color="000000" w:fill="FFFFFF"/>
            <w:noWrap/>
            <w:vAlign w:val="bottom"/>
            <w:hideMark/>
          </w:tcPr>
          <w:p w14:paraId="63AEAE89"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1,07</w:t>
            </w:r>
          </w:p>
        </w:tc>
        <w:tc>
          <w:tcPr>
            <w:tcW w:w="1100" w:type="dxa"/>
            <w:tcBorders>
              <w:top w:val="nil"/>
              <w:left w:val="nil"/>
              <w:bottom w:val="single" w:sz="4" w:space="0" w:color="auto"/>
              <w:right w:val="single" w:sz="4" w:space="0" w:color="auto"/>
            </w:tcBorders>
            <w:shd w:val="clear" w:color="000000" w:fill="FFFFFF"/>
            <w:noWrap/>
            <w:vAlign w:val="bottom"/>
            <w:hideMark/>
          </w:tcPr>
          <w:p w14:paraId="3F6AACBD"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1,06</w:t>
            </w:r>
          </w:p>
        </w:tc>
        <w:tc>
          <w:tcPr>
            <w:tcW w:w="1100" w:type="dxa"/>
            <w:tcBorders>
              <w:top w:val="nil"/>
              <w:left w:val="nil"/>
              <w:bottom w:val="single" w:sz="4" w:space="0" w:color="auto"/>
              <w:right w:val="single" w:sz="4" w:space="0" w:color="auto"/>
            </w:tcBorders>
            <w:shd w:val="clear" w:color="000000" w:fill="FFFFFF"/>
            <w:noWrap/>
            <w:vAlign w:val="bottom"/>
            <w:hideMark/>
          </w:tcPr>
          <w:p w14:paraId="7A71A8DF"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1,03</w:t>
            </w:r>
          </w:p>
        </w:tc>
        <w:tc>
          <w:tcPr>
            <w:tcW w:w="1100" w:type="dxa"/>
            <w:tcBorders>
              <w:top w:val="nil"/>
              <w:left w:val="nil"/>
              <w:bottom w:val="single" w:sz="4" w:space="0" w:color="auto"/>
              <w:right w:val="single" w:sz="4" w:space="0" w:color="auto"/>
            </w:tcBorders>
            <w:shd w:val="clear" w:color="000000" w:fill="FFFFFF"/>
            <w:noWrap/>
            <w:vAlign w:val="bottom"/>
            <w:hideMark/>
          </w:tcPr>
          <w:p w14:paraId="75686786"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99,26</w:t>
            </w:r>
          </w:p>
        </w:tc>
        <w:tc>
          <w:tcPr>
            <w:tcW w:w="1100" w:type="dxa"/>
            <w:tcBorders>
              <w:top w:val="nil"/>
              <w:left w:val="nil"/>
              <w:bottom w:val="single" w:sz="4" w:space="0" w:color="auto"/>
              <w:right w:val="single" w:sz="4" w:space="0" w:color="auto"/>
            </w:tcBorders>
            <w:shd w:val="clear" w:color="000000" w:fill="FFFFFF"/>
            <w:noWrap/>
            <w:vAlign w:val="bottom"/>
            <w:hideMark/>
          </w:tcPr>
          <w:p w14:paraId="41586AE7"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96,58</w:t>
            </w:r>
          </w:p>
        </w:tc>
      </w:tr>
      <w:tr w:rsidR="004E10B7" w:rsidRPr="004E10B7" w14:paraId="2AB326CB" w14:textId="77777777" w:rsidTr="008A32EC">
        <w:trPr>
          <w:trHeight w:val="300"/>
          <w:jc w:val="center"/>
        </w:trPr>
        <w:tc>
          <w:tcPr>
            <w:tcW w:w="1076" w:type="dxa"/>
            <w:tcBorders>
              <w:top w:val="nil"/>
              <w:left w:val="single" w:sz="4" w:space="0" w:color="auto"/>
              <w:bottom w:val="single" w:sz="4" w:space="0" w:color="auto"/>
              <w:right w:val="single" w:sz="4" w:space="0" w:color="auto"/>
            </w:tcBorders>
            <w:shd w:val="clear" w:color="000000" w:fill="FFFFFF"/>
            <w:noWrap/>
            <w:vAlign w:val="bottom"/>
            <w:hideMark/>
          </w:tcPr>
          <w:p w14:paraId="3157DDCE" w14:textId="77777777" w:rsidR="00677B34" w:rsidRPr="004E10B7" w:rsidRDefault="00677B34"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La Rioja</w:t>
            </w:r>
          </w:p>
        </w:tc>
        <w:tc>
          <w:tcPr>
            <w:tcW w:w="1100" w:type="dxa"/>
            <w:tcBorders>
              <w:top w:val="nil"/>
              <w:left w:val="nil"/>
              <w:bottom w:val="single" w:sz="4" w:space="0" w:color="auto"/>
              <w:right w:val="single" w:sz="4" w:space="0" w:color="auto"/>
            </w:tcBorders>
            <w:shd w:val="clear" w:color="000000" w:fill="FFFFFF"/>
            <w:noWrap/>
            <w:vAlign w:val="bottom"/>
            <w:hideMark/>
          </w:tcPr>
          <w:p w14:paraId="12E4FC48"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0,76</w:t>
            </w:r>
          </w:p>
        </w:tc>
        <w:tc>
          <w:tcPr>
            <w:tcW w:w="1100" w:type="dxa"/>
            <w:tcBorders>
              <w:top w:val="nil"/>
              <w:left w:val="nil"/>
              <w:bottom w:val="single" w:sz="4" w:space="0" w:color="auto"/>
              <w:right w:val="single" w:sz="4" w:space="0" w:color="auto"/>
            </w:tcBorders>
            <w:shd w:val="clear" w:color="000000" w:fill="FFFFFF"/>
            <w:noWrap/>
            <w:vAlign w:val="bottom"/>
            <w:hideMark/>
          </w:tcPr>
          <w:p w14:paraId="75AF24D4"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0,52</w:t>
            </w:r>
          </w:p>
        </w:tc>
        <w:tc>
          <w:tcPr>
            <w:tcW w:w="1100" w:type="dxa"/>
            <w:tcBorders>
              <w:top w:val="nil"/>
              <w:left w:val="nil"/>
              <w:bottom w:val="single" w:sz="4" w:space="0" w:color="auto"/>
              <w:right w:val="single" w:sz="4" w:space="0" w:color="auto"/>
            </w:tcBorders>
            <w:shd w:val="clear" w:color="000000" w:fill="FFFFFF"/>
            <w:noWrap/>
            <w:vAlign w:val="bottom"/>
            <w:hideMark/>
          </w:tcPr>
          <w:p w14:paraId="5B24CE94"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0,48</w:t>
            </w:r>
          </w:p>
        </w:tc>
        <w:tc>
          <w:tcPr>
            <w:tcW w:w="1100" w:type="dxa"/>
            <w:tcBorders>
              <w:top w:val="nil"/>
              <w:left w:val="nil"/>
              <w:bottom w:val="single" w:sz="4" w:space="0" w:color="auto"/>
              <w:right w:val="single" w:sz="4" w:space="0" w:color="auto"/>
            </w:tcBorders>
            <w:shd w:val="clear" w:color="000000" w:fill="FFFFFF"/>
            <w:noWrap/>
            <w:vAlign w:val="bottom"/>
            <w:hideMark/>
          </w:tcPr>
          <w:p w14:paraId="2E15DD75"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67,95</w:t>
            </w:r>
          </w:p>
        </w:tc>
        <w:tc>
          <w:tcPr>
            <w:tcW w:w="1100" w:type="dxa"/>
            <w:tcBorders>
              <w:top w:val="nil"/>
              <w:left w:val="nil"/>
              <w:bottom w:val="single" w:sz="4" w:space="0" w:color="auto"/>
              <w:right w:val="single" w:sz="4" w:space="0" w:color="auto"/>
            </w:tcBorders>
            <w:shd w:val="clear" w:color="000000" w:fill="FFFFFF"/>
            <w:noWrap/>
            <w:vAlign w:val="bottom"/>
            <w:hideMark/>
          </w:tcPr>
          <w:p w14:paraId="17DD953E"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63,53</w:t>
            </w:r>
          </w:p>
        </w:tc>
      </w:tr>
      <w:tr w:rsidR="004E10B7" w:rsidRPr="004E10B7" w14:paraId="0DD76274" w14:textId="77777777" w:rsidTr="008A32EC">
        <w:trPr>
          <w:trHeight w:val="300"/>
          <w:jc w:val="center"/>
        </w:trPr>
        <w:tc>
          <w:tcPr>
            <w:tcW w:w="1076" w:type="dxa"/>
            <w:tcBorders>
              <w:top w:val="nil"/>
              <w:left w:val="single" w:sz="4" w:space="0" w:color="auto"/>
              <w:bottom w:val="single" w:sz="4" w:space="0" w:color="auto"/>
              <w:right w:val="single" w:sz="4" w:space="0" w:color="auto"/>
            </w:tcBorders>
            <w:shd w:val="clear" w:color="000000" w:fill="FFFFFF"/>
            <w:noWrap/>
            <w:vAlign w:val="bottom"/>
            <w:hideMark/>
          </w:tcPr>
          <w:p w14:paraId="35E40739" w14:textId="77777777" w:rsidR="00677B34" w:rsidRPr="004E10B7" w:rsidRDefault="00677B34"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Mza</w:t>
            </w:r>
          </w:p>
        </w:tc>
        <w:tc>
          <w:tcPr>
            <w:tcW w:w="1100" w:type="dxa"/>
            <w:tcBorders>
              <w:top w:val="nil"/>
              <w:left w:val="nil"/>
              <w:bottom w:val="single" w:sz="4" w:space="0" w:color="auto"/>
              <w:right w:val="single" w:sz="4" w:space="0" w:color="auto"/>
            </w:tcBorders>
            <w:shd w:val="clear" w:color="000000" w:fill="FFFFFF"/>
            <w:noWrap/>
            <w:vAlign w:val="bottom"/>
            <w:hideMark/>
          </w:tcPr>
          <w:p w14:paraId="07F5E882"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0,91</w:t>
            </w:r>
          </w:p>
        </w:tc>
        <w:tc>
          <w:tcPr>
            <w:tcW w:w="1100" w:type="dxa"/>
            <w:tcBorders>
              <w:top w:val="nil"/>
              <w:left w:val="nil"/>
              <w:bottom w:val="single" w:sz="4" w:space="0" w:color="auto"/>
              <w:right w:val="single" w:sz="4" w:space="0" w:color="auto"/>
            </w:tcBorders>
            <w:shd w:val="clear" w:color="000000" w:fill="FFFFFF"/>
            <w:noWrap/>
            <w:vAlign w:val="bottom"/>
            <w:hideMark/>
          </w:tcPr>
          <w:p w14:paraId="7FE56BAF"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0,98</w:t>
            </w:r>
          </w:p>
        </w:tc>
        <w:tc>
          <w:tcPr>
            <w:tcW w:w="1100" w:type="dxa"/>
            <w:tcBorders>
              <w:top w:val="nil"/>
              <w:left w:val="nil"/>
              <w:bottom w:val="single" w:sz="4" w:space="0" w:color="auto"/>
              <w:right w:val="single" w:sz="4" w:space="0" w:color="auto"/>
            </w:tcBorders>
            <w:shd w:val="clear" w:color="000000" w:fill="FFFFFF"/>
            <w:noWrap/>
            <w:vAlign w:val="bottom"/>
            <w:hideMark/>
          </w:tcPr>
          <w:p w14:paraId="1F611C13"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0,91</w:t>
            </w:r>
          </w:p>
        </w:tc>
        <w:tc>
          <w:tcPr>
            <w:tcW w:w="1100" w:type="dxa"/>
            <w:tcBorders>
              <w:top w:val="nil"/>
              <w:left w:val="nil"/>
              <w:bottom w:val="single" w:sz="4" w:space="0" w:color="auto"/>
              <w:right w:val="single" w:sz="4" w:space="0" w:color="auto"/>
            </w:tcBorders>
            <w:shd w:val="clear" w:color="000000" w:fill="FFFFFF"/>
            <w:noWrap/>
            <w:vAlign w:val="bottom"/>
            <w:hideMark/>
          </w:tcPr>
          <w:p w14:paraId="6B7ED659"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107,93</w:t>
            </w:r>
          </w:p>
        </w:tc>
        <w:tc>
          <w:tcPr>
            <w:tcW w:w="1100" w:type="dxa"/>
            <w:tcBorders>
              <w:top w:val="nil"/>
              <w:left w:val="nil"/>
              <w:bottom w:val="single" w:sz="4" w:space="0" w:color="auto"/>
              <w:right w:val="single" w:sz="4" w:space="0" w:color="auto"/>
            </w:tcBorders>
            <w:shd w:val="clear" w:color="000000" w:fill="FFFFFF"/>
            <w:noWrap/>
            <w:vAlign w:val="bottom"/>
            <w:hideMark/>
          </w:tcPr>
          <w:p w14:paraId="7BF1FF2D"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100,13</w:t>
            </w:r>
          </w:p>
        </w:tc>
      </w:tr>
      <w:tr w:rsidR="004E10B7" w:rsidRPr="004E10B7" w14:paraId="4099464C" w14:textId="77777777" w:rsidTr="008A32EC">
        <w:trPr>
          <w:trHeight w:val="300"/>
          <w:jc w:val="center"/>
        </w:trPr>
        <w:tc>
          <w:tcPr>
            <w:tcW w:w="1076" w:type="dxa"/>
            <w:tcBorders>
              <w:top w:val="nil"/>
              <w:left w:val="single" w:sz="4" w:space="0" w:color="auto"/>
              <w:bottom w:val="single" w:sz="4" w:space="0" w:color="auto"/>
              <w:right w:val="single" w:sz="4" w:space="0" w:color="auto"/>
            </w:tcBorders>
            <w:shd w:val="clear" w:color="000000" w:fill="FFFFFF"/>
            <w:noWrap/>
            <w:vAlign w:val="bottom"/>
            <w:hideMark/>
          </w:tcPr>
          <w:p w14:paraId="1AE8AE6C" w14:textId="77777777" w:rsidR="00677B34" w:rsidRPr="004E10B7" w:rsidRDefault="00677B34"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Misio.</w:t>
            </w:r>
          </w:p>
        </w:tc>
        <w:tc>
          <w:tcPr>
            <w:tcW w:w="1100" w:type="dxa"/>
            <w:tcBorders>
              <w:top w:val="nil"/>
              <w:left w:val="nil"/>
              <w:bottom w:val="single" w:sz="4" w:space="0" w:color="auto"/>
              <w:right w:val="single" w:sz="4" w:space="0" w:color="auto"/>
            </w:tcBorders>
            <w:shd w:val="clear" w:color="000000" w:fill="FFFFFF"/>
            <w:noWrap/>
            <w:vAlign w:val="bottom"/>
            <w:hideMark/>
          </w:tcPr>
          <w:p w14:paraId="6B781423"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0,56</w:t>
            </w:r>
          </w:p>
        </w:tc>
        <w:tc>
          <w:tcPr>
            <w:tcW w:w="1100" w:type="dxa"/>
            <w:tcBorders>
              <w:top w:val="nil"/>
              <w:left w:val="nil"/>
              <w:bottom w:val="single" w:sz="4" w:space="0" w:color="auto"/>
              <w:right w:val="single" w:sz="4" w:space="0" w:color="auto"/>
            </w:tcBorders>
            <w:shd w:val="clear" w:color="000000" w:fill="FFFFFF"/>
            <w:noWrap/>
            <w:vAlign w:val="bottom"/>
            <w:hideMark/>
          </w:tcPr>
          <w:p w14:paraId="78A977AD"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0,44</w:t>
            </w:r>
          </w:p>
        </w:tc>
        <w:tc>
          <w:tcPr>
            <w:tcW w:w="1100" w:type="dxa"/>
            <w:tcBorders>
              <w:top w:val="nil"/>
              <w:left w:val="nil"/>
              <w:bottom w:val="single" w:sz="4" w:space="0" w:color="auto"/>
              <w:right w:val="single" w:sz="4" w:space="0" w:color="auto"/>
            </w:tcBorders>
            <w:shd w:val="clear" w:color="000000" w:fill="FFFFFF"/>
            <w:noWrap/>
            <w:vAlign w:val="bottom"/>
            <w:hideMark/>
          </w:tcPr>
          <w:p w14:paraId="18611685"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0,44</w:t>
            </w:r>
          </w:p>
        </w:tc>
        <w:tc>
          <w:tcPr>
            <w:tcW w:w="1100" w:type="dxa"/>
            <w:tcBorders>
              <w:top w:val="nil"/>
              <w:left w:val="nil"/>
              <w:bottom w:val="single" w:sz="4" w:space="0" w:color="auto"/>
              <w:right w:val="single" w:sz="4" w:space="0" w:color="auto"/>
            </w:tcBorders>
            <w:shd w:val="clear" w:color="000000" w:fill="FFFFFF"/>
            <w:noWrap/>
            <w:vAlign w:val="bottom"/>
            <w:hideMark/>
          </w:tcPr>
          <w:p w14:paraId="5FA9AABB"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79,28</w:t>
            </w:r>
          </w:p>
        </w:tc>
        <w:tc>
          <w:tcPr>
            <w:tcW w:w="1100" w:type="dxa"/>
            <w:tcBorders>
              <w:top w:val="nil"/>
              <w:left w:val="nil"/>
              <w:bottom w:val="single" w:sz="4" w:space="0" w:color="auto"/>
              <w:right w:val="single" w:sz="4" w:space="0" w:color="auto"/>
            </w:tcBorders>
            <w:shd w:val="clear" w:color="000000" w:fill="FFFFFF"/>
            <w:noWrap/>
            <w:vAlign w:val="bottom"/>
            <w:hideMark/>
          </w:tcPr>
          <w:p w14:paraId="0B07AD8A"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79,21</w:t>
            </w:r>
          </w:p>
        </w:tc>
      </w:tr>
      <w:tr w:rsidR="004E10B7" w:rsidRPr="004E10B7" w14:paraId="656BEA18" w14:textId="77777777" w:rsidTr="008A32EC">
        <w:trPr>
          <w:trHeight w:val="300"/>
          <w:jc w:val="center"/>
        </w:trPr>
        <w:tc>
          <w:tcPr>
            <w:tcW w:w="1076" w:type="dxa"/>
            <w:tcBorders>
              <w:top w:val="nil"/>
              <w:left w:val="single" w:sz="4" w:space="0" w:color="auto"/>
              <w:bottom w:val="single" w:sz="4" w:space="0" w:color="auto"/>
              <w:right w:val="single" w:sz="4" w:space="0" w:color="auto"/>
            </w:tcBorders>
            <w:shd w:val="clear" w:color="000000" w:fill="FFFFFF"/>
            <w:noWrap/>
            <w:vAlign w:val="bottom"/>
            <w:hideMark/>
          </w:tcPr>
          <w:p w14:paraId="532AB02B" w14:textId="77777777" w:rsidR="00677B34" w:rsidRPr="004E10B7" w:rsidRDefault="00677B34"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Neuq.</w:t>
            </w:r>
          </w:p>
        </w:tc>
        <w:tc>
          <w:tcPr>
            <w:tcW w:w="1100" w:type="dxa"/>
            <w:tcBorders>
              <w:top w:val="nil"/>
              <w:left w:val="nil"/>
              <w:bottom w:val="single" w:sz="4" w:space="0" w:color="auto"/>
              <w:right w:val="single" w:sz="4" w:space="0" w:color="auto"/>
            </w:tcBorders>
            <w:shd w:val="clear" w:color="000000" w:fill="FFFFFF"/>
            <w:noWrap/>
            <w:vAlign w:val="bottom"/>
            <w:hideMark/>
          </w:tcPr>
          <w:p w14:paraId="27B5444E"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1,43</w:t>
            </w:r>
          </w:p>
        </w:tc>
        <w:tc>
          <w:tcPr>
            <w:tcW w:w="1100" w:type="dxa"/>
            <w:tcBorders>
              <w:top w:val="nil"/>
              <w:left w:val="nil"/>
              <w:bottom w:val="single" w:sz="4" w:space="0" w:color="auto"/>
              <w:right w:val="single" w:sz="4" w:space="0" w:color="auto"/>
            </w:tcBorders>
            <w:shd w:val="clear" w:color="000000" w:fill="FFFFFF"/>
            <w:noWrap/>
            <w:vAlign w:val="bottom"/>
            <w:hideMark/>
          </w:tcPr>
          <w:p w14:paraId="700A2047"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1,91</w:t>
            </w:r>
          </w:p>
        </w:tc>
        <w:tc>
          <w:tcPr>
            <w:tcW w:w="1100" w:type="dxa"/>
            <w:tcBorders>
              <w:top w:val="nil"/>
              <w:left w:val="nil"/>
              <w:bottom w:val="single" w:sz="4" w:space="0" w:color="auto"/>
              <w:right w:val="single" w:sz="4" w:space="0" w:color="auto"/>
            </w:tcBorders>
            <w:shd w:val="clear" w:color="000000" w:fill="FFFFFF"/>
            <w:noWrap/>
            <w:vAlign w:val="bottom"/>
            <w:hideMark/>
          </w:tcPr>
          <w:p w14:paraId="4F85299F"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1,88</w:t>
            </w:r>
          </w:p>
        </w:tc>
        <w:tc>
          <w:tcPr>
            <w:tcW w:w="1100" w:type="dxa"/>
            <w:tcBorders>
              <w:top w:val="nil"/>
              <w:left w:val="nil"/>
              <w:bottom w:val="single" w:sz="4" w:space="0" w:color="auto"/>
              <w:right w:val="single" w:sz="4" w:space="0" w:color="auto"/>
            </w:tcBorders>
            <w:shd w:val="clear" w:color="000000" w:fill="FFFFFF"/>
            <w:noWrap/>
            <w:vAlign w:val="bottom"/>
            <w:hideMark/>
          </w:tcPr>
          <w:p w14:paraId="429A8CE8"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133,76</w:t>
            </w:r>
          </w:p>
        </w:tc>
        <w:tc>
          <w:tcPr>
            <w:tcW w:w="1100" w:type="dxa"/>
            <w:tcBorders>
              <w:top w:val="nil"/>
              <w:left w:val="nil"/>
              <w:bottom w:val="single" w:sz="4" w:space="0" w:color="auto"/>
              <w:right w:val="single" w:sz="4" w:space="0" w:color="auto"/>
            </w:tcBorders>
            <w:shd w:val="clear" w:color="000000" w:fill="FFFFFF"/>
            <w:noWrap/>
            <w:vAlign w:val="bottom"/>
            <w:hideMark/>
          </w:tcPr>
          <w:p w14:paraId="3E1C7972"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132,21</w:t>
            </w:r>
          </w:p>
        </w:tc>
      </w:tr>
      <w:tr w:rsidR="004E10B7" w:rsidRPr="004E10B7" w14:paraId="66217D1B" w14:textId="77777777" w:rsidTr="008A32EC">
        <w:trPr>
          <w:trHeight w:val="300"/>
          <w:jc w:val="center"/>
        </w:trPr>
        <w:tc>
          <w:tcPr>
            <w:tcW w:w="1076" w:type="dxa"/>
            <w:tcBorders>
              <w:top w:val="nil"/>
              <w:left w:val="single" w:sz="4" w:space="0" w:color="auto"/>
              <w:bottom w:val="single" w:sz="4" w:space="0" w:color="auto"/>
              <w:right w:val="single" w:sz="4" w:space="0" w:color="auto"/>
            </w:tcBorders>
            <w:shd w:val="clear" w:color="000000" w:fill="FFFFFF"/>
            <w:noWrap/>
            <w:vAlign w:val="bottom"/>
            <w:hideMark/>
          </w:tcPr>
          <w:p w14:paraId="78009932" w14:textId="77777777" w:rsidR="00677B34" w:rsidRPr="004E10B7" w:rsidRDefault="00677B34"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Río N.</w:t>
            </w:r>
          </w:p>
        </w:tc>
        <w:tc>
          <w:tcPr>
            <w:tcW w:w="1100" w:type="dxa"/>
            <w:tcBorders>
              <w:top w:val="nil"/>
              <w:left w:val="nil"/>
              <w:bottom w:val="single" w:sz="4" w:space="0" w:color="auto"/>
              <w:right w:val="single" w:sz="4" w:space="0" w:color="auto"/>
            </w:tcBorders>
            <w:shd w:val="clear" w:color="000000" w:fill="FFFFFF"/>
            <w:noWrap/>
            <w:vAlign w:val="bottom"/>
            <w:hideMark/>
          </w:tcPr>
          <w:p w14:paraId="4A020461"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0,93</w:t>
            </w:r>
          </w:p>
        </w:tc>
        <w:tc>
          <w:tcPr>
            <w:tcW w:w="1100" w:type="dxa"/>
            <w:tcBorders>
              <w:top w:val="nil"/>
              <w:left w:val="nil"/>
              <w:bottom w:val="single" w:sz="4" w:space="0" w:color="auto"/>
              <w:right w:val="single" w:sz="4" w:space="0" w:color="auto"/>
            </w:tcBorders>
            <w:shd w:val="clear" w:color="000000" w:fill="FFFFFF"/>
            <w:noWrap/>
            <w:vAlign w:val="bottom"/>
            <w:hideMark/>
          </w:tcPr>
          <w:p w14:paraId="4A6EE8C3"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0,82</w:t>
            </w:r>
          </w:p>
        </w:tc>
        <w:tc>
          <w:tcPr>
            <w:tcW w:w="1100" w:type="dxa"/>
            <w:tcBorders>
              <w:top w:val="nil"/>
              <w:left w:val="nil"/>
              <w:bottom w:val="single" w:sz="4" w:space="0" w:color="auto"/>
              <w:right w:val="single" w:sz="4" w:space="0" w:color="auto"/>
            </w:tcBorders>
            <w:shd w:val="clear" w:color="000000" w:fill="FFFFFF"/>
            <w:noWrap/>
            <w:vAlign w:val="bottom"/>
            <w:hideMark/>
          </w:tcPr>
          <w:p w14:paraId="1BE44D6B"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0,87</w:t>
            </w:r>
          </w:p>
        </w:tc>
        <w:tc>
          <w:tcPr>
            <w:tcW w:w="1100" w:type="dxa"/>
            <w:tcBorders>
              <w:top w:val="nil"/>
              <w:left w:val="nil"/>
              <w:bottom w:val="single" w:sz="4" w:space="0" w:color="auto"/>
              <w:right w:val="single" w:sz="4" w:space="0" w:color="auto"/>
            </w:tcBorders>
            <w:shd w:val="clear" w:color="000000" w:fill="FFFFFF"/>
            <w:noWrap/>
            <w:vAlign w:val="bottom"/>
            <w:hideMark/>
          </w:tcPr>
          <w:p w14:paraId="207ACDC7"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88,57</w:t>
            </w:r>
          </w:p>
        </w:tc>
        <w:tc>
          <w:tcPr>
            <w:tcW w:w="1100" w:type="dxa"/>
            <w:tcBorders>
              <w:top w:val="nil"/>
              <w:left w:val="nil"/>
              <w:bottom w:val="single" w:sz="4" w:space="0" w:color="auto"/>
              <w:right w:val="single" w:sz="4" w:space="0" w:color="auto"/>
            </w:tcBorders>
            <w:shd w:val="clear" w:color="000000" w:fill="FFFFFF"/>
            <w:noWrap/>
            <w:vAlign w:val="bottom"/>
            <w:hideMark/>
          </w:tcPr>
          <w:p w14:paraId="2234FED9"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93,09</w:t>
            </w:r>
          </w:p>
        </w:tc>
      </w:tr>
      <w:tr w:rsidR="004E10B7" w:rsidRPr="004E10B7" w14:paraId="2E34DBDC" w14:textId="77777777" w:rsidTr="008A32EC">
        <w:trPr>
          <w:trHeight w:val="300"/>
          <w:jc w:val="center"/>
        </w:trPr>
        <w:tc>
          <w:tcPr>
            <w:tcW w:w="1076" w:type="dxa"/>
            <w:tcBorders>
              <w:top w:val="nil"/>
              <w:left w:val="single" w:sz="4" w:space="0" w:color="auto"/>
              <w:bottom w:val="single" w:sz="4" w:space="0" w:color="auto"/>
              <w:right w:val="single" w:sz="4" w:space="0" w:color="auto"/>
            </w:tcBorders>
            <w:shd w:val="clear" w:color="000000" w:fill="FFFFFF"/>
            <w:noWrap/>
            <w:vAlign w:val="bottom"/>
            <w:hideMark/>
          </w:tcPr>
          <w:p w14:paraId="2DC97071" w14:textId="77777777" w:rsidR="00677B34" w:rsidRPr="004E10B7" w:rsidRDefault="00677B34"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Salta</w:t>
            </w:r>
          </w:p>
        </w:tc>
        <w:tc>
          <w:tcPr>
            <w:tcW w:w="1100" w:type="dxa"/>
            <w:tcBorders>
              <w:top w:val="nil"/>
              <w:left w:val="nil"/>
              <w:bottom w:val="single" w:sz="4" w:space="0" w:color="auto"/>
              <w:right w:val="single" w:sz="4" w:space="0" w:color="auto"/>
            </w:tcBorders>
            <w:shd w:val="clear" w:color="000000" w:fill="FFFFFF"/>
            <w:noWrap/>
            <w:vAlign w:val="bottom"/>
            <w:hideMark/>
          </w:tcPr>
          <w:p w14:paraId="23EB6DA7"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0,55</w:t>
            </w:r>
          </w:p>
        </w:tc>
        <w:tc>
          <w:tcPr>
            <w:tcW w:w="1100" w:type="dxa"/>
            <w:tcBorders>
              <w:top w:val="nil"/>
              <w:left w:val="nil"/>
              <w:bottom w:val="single" w:sz="4" w:space="0" w:color="auto"/>
              <w:right w:val="single" w:sz="4" w:space="0" w:color="auto"/>
            </w:tcBorders>
            <w:shd w:val="clear" w:color="000000" w:fill="FFFFFF"/>
            <w:noWrap/>
            <w:vAlign w:val="bottom"/>
            <w:hideMark/>
          </w:tcPr>
          <w:p w14:paraId="19DA67E7"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0,51</w:t>
            </w:r>
          </w:p>
        </w:tc>
        <w:tc>
          <w:tcPr>
            <w:tcW w:w="1100" w:type="dxa"/>
            <w:tcBorders>
              <w:top w:val="nil"/>
              <w:left w:val="nil"/>
              <w:bottom w:val="single" w:sz="4" w:space="0" w:color="auto"/>
              <w:right w:val="single" w:sz="4" w:space="0" w:color="auto"/>
            </w:tcBorders>
            <w:shd w:val="clear" w:color="000000" w:fill="FFFFFF"/>
            <w:noWrap/>
            <w:vAlign w:val="bottom"/>
            <w:hideMark/>
          </w:tcPr>
          <w:p w14:paraId="6AD0C04A"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0,51</w:t>
            </w:r>
          </w:p>
        </w:tc>
        <w:tc>
          <w:tcPr>
            <w:tcW w:w="1100" w:type="dxa"/>
            <w:tcBorders>
              <w:top w:val="nil"/>
              <w:left w:val="nil"/>
              <w:bottom w:val="single" w:sz="4" w:space="0" w:color="auto"/>
              <w:right w:val="single" w:sz="4" w:space="0" w:color="auto"/>
            </w:tcBorders>
            <w:shd w:val="clear" w:color="000000" w:fill="FFFFFF"/>
            <w:noWrap/>
            <w:vAlign w:val="bottom"/>
            <w:hideMark/>
          </w:tcPr>
          <w:p w14:paraId="656DB9A3"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93,14</w:t>
            </w:r>
          </w:p>
        </w:tc>
        <w:tc>
          <w:tcPr>
            <w:tcW w:w="1100" w:type="dxa"/>
            <w:tcBorders>
              <w:top w:val="nil"/>
              <w:left w:val="nil"/>
              <w:bottom w:val="single" w:sz="4" w:space="0" w:color="auto"/>
              <w:right w:val="single" w:sz="4" w:space="0" w:color="auto"/>
            </w:tcBorders>
            <w:shd w:val="clear" w:color="000000" w:fill="FFFFFF"/>
            <w:noWrap/>
            <w:vAlign w:val="bottom"/>
            <w:hideMark/>
          </w:tcPr>
          <w:p w14:paraId="3D778BA4"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93,90</w:t>
            </w:r>
          </w:p>
        </w:tc>
      </w:tr>
      <w:tr w:rsidR="004E10B7" w:rsidRPr="004E10B7" w14:paraId="08809F62" w14:textId="77777777" w:rsidTr="008A32EC">
        <w:trPr>
          <w:trHeight w:val="300"/>
          <w:jc w:val="center"/>
        </w:trPr>
        <w:tc>
          <w:tcPr>
            <w:tcW w:w="1076" w:type="dxa"/>
            <w:tcBorders>
              <w:top w:val="nil"/>
              <w:left w:val="single" w:sz="4" w:space="0" w:color="auto"/>
              <w:bottom w:val="single" w:sz="4" w:space="0" w:color="auto"/>
              <w:right w:val="single" w:sz="4" w:space="0" w:color="auto"/>
            </w:tcBorders>
            <w:shd w:val="clear" w:color="000000" w:fill="FFFFFF"/>
            <w:noWrap/>
            <w:vAlign w:val="bottom"/>
            <w:hideMark/>
          </w:tcPr>
          <w:p w14:paraId="3CE35320" w14:textId="77777777" w:rsidR="00677B34" w:rsidRPr="004E10B7" w:rsidRDefault="00677B34"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S.J.</w:t>
            </w:r>
          </w:p>
        </w:tc>
        <w:tc>
          <w:tcPr>
            <w:tcW w:w="1100" w:type="dxa"/>
            <w:tcBorders>
              <w:top w:val="nil"/>
              <w:left w:val="nil"/>
              <w:bottom w:val="single" w:sz="4" w:space="0" w:color="auto"/>
              <w:right w:val="single" w:sz="4" w:space="0" w:color="auto"/>
            </w:tcBorders>
            <w:shd w:val="clear" w:color="000000" w:fill="FFFFFF"/>
            <w:noWrap/>
            <w:vAlign w:val="bottom"/>
            <w:hideMark/>
          </w:tcPr>
          <w:p w14:paraId="77F8C20C"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0,67</w:t>
            </w:r>
          </w:p>
        </w:tc>
        <w:tc>
          <w:tcPr>
            <w:tcW w:w="1100" w:type="dxa"/>
            <w:tcBorders>
              <w:top w:val="nil"/>
              <w:left w:val="nil"/>
              <w:bottom w:val="single" w:sz="4" w:space="0" w:color="auto"/>
              <w:right w:val="single" w:sz="4" w:space="0" w:color="auto"/>
            </w:tcBorders>
            <w:shd w:val="clear" w:color="000000" w:fill="FFFFFF"/>
            <w:noWrap/>
            <w:vAlign w:val="bottom"/>
            <w:hideMark/>
          </w:tcPr>
          <w:p w14:paraId="1D3934E2"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0,47</w:t>
            </w:r>
          </w:p>
        </w:tc>
        <w:tc>
          <w:tcPr>
            <w:tcW w:w="1100" w:type="dxa"/>
            <w:tcBorders>
              <w:top w:val="nil"/>
              <w:left w:val="nil"/>
              <w:bottom w:val="single" w:sz="4" w:space="0" w:color="auto"/>
              <w:right w:val="single" w:sz="4" w:space="0" w:color="auto"/>
            </w:tcBorders>
            <w:shd w:val="clear" w:color="000000" w:fill="FFFFFF"/>
            <w:noWrap/>
            <w:vAlign w:val="bottom"/>
            <w:hideMark/>
          </w:tcPr>
          <w:p w14:paraId="36AE7295"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0,51</w:t>
            </w:r>
          </w:p>
        </w:tc>
        <w:tc>
          <w:tcPr>
            <w:tcW w:w="1100" w:type="dxa"/>
            <w:tcBorders>
              <w:top w:val="nil"/>
              <w:left w:val="nil"/>
              <w:bottom w:val="single" w:sz="4" w:space="0" w:color="auto"/>
              <w:right w:val="single" w:sz="4" w:space="0" w:color="auto"/>
            </w:tcBorders>
            <w:shd w:val="clear" w:color="000000" w:fill="FFFFFF"/>
            <w:noWrap/>
            <w:vAlign w:val="bottom"/>
            <w:hideMark/>
          </w:tcPr>
          <w:p w14:paraId="5D6E859C"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69,81</w:t>
            </w:r>
          </w:p>
        </w:tc>
        <w:tc>
          <w:tcPr>
            <w:tcW w:w="1100" w:type="dxa"/>
            <w:tcBorders>
              <w:top w:val="nil"/>
              <w:left w:val="nil"/>
              <w:bottom w:val="single" w:sz="4" w:space="0" w:color="auto"/>
              <w:right w:val="single" w:sz="4" w:space="0" w:color="auto"/>
            </w:tcBorders>
            <w:shd w:val="clear" w:color="000000" w:fill="FFFFFF"/>
            <w:noWrap/>
            <w:vAlign w:val="bottom"/>
            <w:hideMark/>
          </w:tcPr>
          <w:p w14:paraId="74089673"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76,58</w:t>
            </w:r>
          </w:p>
        </w:tc>
      </w:tr>
      <w:tr w:rsidR="004E10B7" w:rsidRPr="004E10B7" w14:paraId="5FA9F82A" w14:textId="77777777" w:rsidTr="008A32EC">
        <w:trPr>
          <w:trHeight w:val="300"/>
          <w:jc w:val="center"/>
        </w:trPr>
        <w:tc>
          <w:tcPr>
            <w:tcW w:w="1076" w:type="dxa"/>
            <w:tcBorders>
              <w:top w:val="nil"/>
              <w:left w:val="single" w:sz="4" w:space="0" w:color="auto"/>
              <w:bottom w:val="single" w:sz="4" w:space="0" w:color="auto"/>
              <w:right w:val="single" w:sz="4" w:space="0" w:color="auto"/>
            </w:tcBorders>
            <w:shd w:val="clear" w:color="000000" w:fill="FFFFFF"/>
            <w:noWrap/>
            <w:vAlign w:val="bottom"/>
            <w:hideMark/>
          </w:tcPr>
          <w:p w14:paraId="496F31C4" w14:textId="77777777" w:rsidR="00677B34" w:rsidRPr="004E10B7" w:rsidRDefault="00677B34"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S. Luis</w:t>
            </w:r>
          </w:p>
        </w:tc>
        <w:tc>
          <w:tcPr>
            <w:tcW w:w="1100" w:type="dxa"/>
            <w:tcBorders>
              <w:top w:val="nil"/>
              <w:left w:val="nil"/>
              <w:bottom w:val="single" w:sz="4" w:space="0" w:color="auto"/>
              <w:right w:val="single" w:sz="4" w:space="0" w:color="auto"/>
            </w:tcBorders>
            <w:shd w:val="clear" w:color="000000" w:fill="FFFFFF"/>
            <w:noWrap/>
            <w:vAlign w:val="bottom"/>
            <w:hideMark/>
          </w:tcPr>
          <w:p w14:paraId="49D50AC3"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1,14</w:t>
            </w:r>
          </w:p>
        </w:tc>
        <w:tc>
          <w:tcPr>
            <w:tcW w:w="1100" w:type="dxa"/>
            <w:tcBorders>
              <w:top w:val="nil"/>
              <w:left w:val="nil"/>
              <w:bottom w:val="single" w:sz="4" w:space="0" w:color="auto"/>
              <w:right w:val="single" w:sz="4" w:space="0" w:color="auto"/>
            </w:tcBorders>
            <w:shd w:val="clear" w:color="000000" w:fill="FFFFFF"/>
            <w:noWrap/>
            <w:vAlign w:val="bottom"/>
            <w:hideMark/>
          </w:tcPr>
          <w:p w14:paraId="0D0ABD86"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0,95</w:t>
            </w:r>
          </w:p>
        </w:tc>
        <w:tc>
          <w:tcPr>
            <w:tcW w:w="1100" w:type="dxa"/>
            <w:tcBorders>
              <w:top w:val="nil"/>
              <w:left w:val="nil"/>
              <w:bottom w:val="single" w:sz="4" w:space="0" w:color="auto"/>
              <w:right w:val="single" w:sz="4" w:space="0" w:color="auto"/>
            </w:tcBorders>
            <w:shd w:val="clear" w:color="000000" w:fill="FFFFFF"/>
            <w:noWrap/>
            <w:vAlign w:val="bottom"/>
            <w:hideMark/>
          </w:tcPr>
          <w:p w14:paraId="7015799F"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0,90</w:t>
            </w:r>
          </w:p>
        </w:tc>
        <w:tc>
          <w:tcPr>
            <w:tcW w:w="1100" w:type="dxa"/>
            <w:tcBorders>
              <w:top w:val="nil"/>
              <w:left w:val="nil"/>
              <w:bottom w:val="single" w:sz="4" w:space="0" w:color="auto"/>
              <w:right w:val="single" w:sz="4" w:space="0" w:color="auto"/>
            </w:tcBorders>
            <w:shd w:val="clear" w:color="000000" w:fill="FFFFFF"/>
            <w:noWrap/>
            <w:vAlign w:val="bottom"/>
            <w:hideMark/>
          </w:tcPr>
          <w:p w14:paraId="02E7AE98"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83,25</w:t>
            </w:r>
          </w:p>
        </w:tc>
        <w:tc>
          <w:tcPr>
            <w:tcW w:w="1100" w:type="dxa"/>
            <w:tcBorders>
              <w:top w:val="nil"/>
              <w:left w:val="nil"/>
              <w:bottom w:val="single" w:sz="4" w:space="0" w:color="auto"/>
              <w:right w:val="single" w:sz="4" w:space="0" w:color="auto"/>
            </w:tcBorders>
            <w:shd w:val="clear" w:color="000000" w:fill="FFFFFF"/>
            <w:noWrap/>
            <w:vAlign w:val="bottom"/>
            <w:hideMark/>
          </w:tcPr>
          <w:p w14:paraId="0D21AB01"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78,88</w:t>
            </w:r>
          </w:p>
        </w:tc>
      </w:tr>
      <w:tr w:rsidR="004E10B7" w:rsidRPr="004E10B7" w14:paraId="3390FA73" w14:textId="77777777" w:rsidTr="008A32EC">
        <w:trPr>
          <w:trHeight w:val="300"/>
          <w:jc w:val="center"/>
        </w:trPr>
        <w:tc>
          <w:tcPr>
            <w:tcW w:w="1076" w:type="dxa"/>
            <w:tcBorders>
              <w:top w:val="nil"/>
              <w:left w:val="single" w:sz="4" w:space="0" w:color="auto"/>
              <w:bottom w:val="single" w:sz="4" w:space="0" w:color="auto"/>
              <w:right w:val="single" w:sz="4" w:space="0" w:color="auto"/>
            </w:tcBorders>
            <w:shd w:val="clear" w:color="000000" w:fill="FFFFFF"/>
            <w:noWrap/>
            <w:vAlign w:val="bottom"/>
            <w:hideMark/>
          </w:tcPr>
          <w:p w14:paraId="16A259F0" w14:textId="77777777" w:rsidR="00677B34" w:rsidRPr="004E10B7" w:rsidRDefault="00677B34"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Sta. Cruz</w:t>
            </w:r>
          </w:p>
        </w:tc>
        <w:tc>
          <w:tcPr>
            <w:tcW w:w="1100" w:type="dxa"/>
            <w:tcBorders>
              <w:top w:val="nil"/>
              <w:left w:val="nil"/>
              <w:bottom w:val="single" w:sz="4" w:space="0" w:color="auto"/>
              <w:right w:val="single" w:sz="4" w:space="0" w:color="auto"/>
            </w:tcBorders>
            <w:shd w:val="clear" w:color="000000" w:fill="FFFFFF"/>
            <w:noWrap/>
            <w:vAlign w:val="bottom"/>
            <w:hideMark/>
          </w:tcPr>
          <w:p w14:paraId="6D610BF3"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1,91</w:t>
            </w:r>
          </w:p>
        </w:tc>
        <w:tc>
          <w:tcPr>
            <w:tcW w:w="1100" w:type="dxa"/>
            <w:tcBorders>
              <w:top w:val="nil"/>
              <w:left w:val="nil"/>
              <w:bottom w:val="single" w:sz="4" w:space="0" w:color="auto"/>
              <w:right w:val="single" w:sz="4" w:space="0" w:color="auto"/>
            </w:tcBorders>
            <w:shd w:val="clear" w:color="000000" w:fill="FFFFFF"/>
            <w:noWrap/>
            <w:vAlign w:val="bottom"/>
            <w:hideMark/>
          </w:tcPr>
          <w:p w14:paraId="3F145938"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2,82</w:t>
            </w:r>
          </w:p>
        </w:tc>
        <w:tc>
          <w:tcPr>
            <w:tcW w:w="1100" w:type="dxa"/>
            <w:tcBorders>
              <w:top w:val="nil"/>
              <w:left w:val="nil"/>
              <w:bottom w:val="single" w:sz="4" w:space="0" w:color="auto"/>
              <w:right w:val="single" w:sz="4" w:space="0" w:color="auto"/>
            </w:tcBorders>
            <w:shd w:val="clear" w:color="000000" w:fill="FFFFFF"/>
            <w:noWrap/>
            <w:vAlign w:val="bottom"/>
            <w:hideMark/>
          </w:tcPr>
          <w:p w14:paraId="0AAFA193"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2,58</w:t>
            </w:r>
          </w:p>
        </w:tc>
        <w:tc>
          <w:tcPr>
            <w:tcW w:w="1100" w:type="dxa"/>
            <w:tcBorders>
              <w:top w:val="nil"/>
              <w:left w:val="nil"/>
              <w:bottom w:val="single" w:sz="4" w:space="0" w:color="auto"/>
              <w:right w:val="single" w:sz="4" w:space="0" w:color="auto"/>
            </w:tcBorders>
            <w:shd w:val="clear" w:color="000000" w:fill="FFFFFF"/>
            <w:noWrap/>
            <w:vAlign w:val="bottom"/>
            <w:hideMark/>
          </w:tcPr>
          <w:p w14:paraId="0ED62AEB"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147,57</w:t>
            </w:r>
          </w:p>
        </w:tc>
        <w:tc>
          <w:tcPr>
            <w:tcW w:w="1100" w:type="dxa"/>
            <w:tcBorders>
              <w:top w:val="nil"/>
              <w:left w:val="nil"/>
              <w:bottom w:val="single" w:sz="4" w:space="0" w:color="auto"/>
              <w:right w:val="single" w:sz="4" w:space="0" w:color="auto"/>
            </w:tcBorders>
            <w:shd w:val="clear" w:color="000000" w:fill="FFFFFF"/>
            <w:noWrap/>
            <w:vAlign w:val="bottom"/>
            <w:hideMark/>
          </w:tcPr>
          <w:p w14:paraId="49393AC9"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134,86</w:t>
            </w:r>
          </w:p>
        </w:tc>
      </w:tr>
      <w:tr w:rsidR="004E10B7" w:rsidRPr="004E10B7" w14:paraId="4E135792" w14:textId="77777777" w:rsidTr="008A32EC">
        <w:trPr>
          <w:trHeight w:val="300"/>
          <w:jc w:val="center"/>
        </w:trPr>
        <w:tc>
          <w:tcPr>
            <w:tcW w:w="1076" w:type="dxa"/>
            <w:tcBorders>
              <w:top w:val="nil"/>
              <w:left w:val="single" w:sz="4" w:space="0" w:color="auto"/>
              <w:bottom w:val="single" w:sz="4" w:space="0" w:color="auto"/>
              <w:right w:val="single" w:sz="4" w:space="0" w:color="auto"/>
            </w:tcBorders>
            <w:shd w:val="clear" w:color="000000" w:fill="FFFFFF"/>
            <w:noWrap/>
            <w:vAlign w:val="bottom"/>
            <w:hideMark/>
          </w:tcPr>
          <w:p w14:paraId="5BE4E7EA" w14:textId="77777777" w:rsidR="00677B34" w:rsidRPr="004E10B7" w:rsidRDefault="00677B34"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Sta. Fe</w:t>
            </w:r>
          </w:p>
        </w:tc>
        <w:tc>
          <w:tcPr>
            <w:tcW w:w="1100" w:type="dxa"/>
            <w:tcBorders>
              <w:top w:val="nil"/>
              <w:left w:val="nil"/>
              <w:bottom w:val="single" w:sz="4" w:space="0" w:color="auto"/>
              <w:right w:val="single" w:sz="4" w:space="0" w:color="auto"/>
            </w:tcBorders>
            <w:shd w:val="clear" w:color="000000" w:fill="FFFFFF"/>
            <w:noWrap/>
            <w:vAlign w:val="bottom"/>
            <w:hideMark/>
          </w:tcPr>
          <w:p w14:paraId="77A1E98D"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0,93</w:t>
            </w:r>
          </w:p>
        </w:tc>
        <w:tc>
          <w:tcPr>
            <w:tcW w:w="1100" w:type="dxa"/>
            <w:tcBorders>
              <w:top w:val="nil"/>
              <w:left w:val="nil"/>
              <w:bottom w:val="single" w:sz="4" w:space="0" w:color="auto"/>
              <w:right w:val="single" w:sz="4" w:space="0" w:color="auto"/>
            </w:tcBorders>
            <w:shd w:val="clear" w:color="000000" w:fill="FFFFFF"/>
            <w:noWrap/>
            <w:vAlign w:val="bottom"/>
            <w:hideMark/>
          </w:tcPr>
          <w:p w14:paraId="1989B57E"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0,94</w:t>
            </w:r>
          </w:p>
        </w:tc>
        <w:tc>
          <w:tcPr>
            <w:tcW w:w="1100" w:type="dxa"/>
            <w:tcBorders>
              <w:top w:val="nil"/>
              <w:left w:val="nil"/>
              <w:bottom w:val="single" w:sz="4" w:space="0" w:color="auto"/>
              <w:right w:val="single" w:sz="4" w:space="0" w:color="auto"/>
            </w:tcBorders>
            <w:shd w:val="clear" w:color="000000" w:fill="FFFFFF"/>
            <w:noWrap/>
            <w:vAlign w:val="bottom"/>
            <w:hideMark/>
          </w:tcPr>
          <w:p w14:paraId="53047292"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0,91</w:t>
            </w:r>
          </w:p>
        </w:tc>
        <w:tc>
          <w:tcPr>
            <w:tcW w:w="1100" w:type="dxa"/>
            <w:tcBorders>
              <w:top w:val="nil"/>
              <w:left w:val="nil"/>
              <w:bottom w:val="single" w:sz="4" w:space="0" w:color="auto"/>
              <w:right w:val="single" w:sz="4" w:space="0" w:color="auto"/>
            </w:tcBorders>
            <w:shd w:val="clear" w:color="000000" w:fill="FFFFFF"/>
            <w:noWrap/>
            <w:vAlign w:val="bottom"/>
            <w:hideMark/>
          </w:tcPr>
          <w:p w14:paraId="6CAC3609"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101,31</w:t>
            </w:r>
          </w:p>
        </w:tc>
        <w:tc>
          <w:tcPr>
            <w:tcW w:w="1100" w:type="dxa"/>
            <w:tcBorders>
              <w:top w:val="nil"/>
              <w:left w:val="nil"/>
              <w:bottom w:val="single" w:sz="4" w:space="0" w:color="auto"/>
              <w:right w:val="single" w:sz="4" w:space="0" w:color="auto"/>
            </w:tcBorders>
            <w:shd w:val="clear" w:color="000000" w:fill="FFFFFF"/>
            <w:noWrap/>
            <w:vAlign w:val="bottom"/>
            <w:hideMark/>
          </w:tcPr>
          <w:p w14:paraId="25A1DFCC"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97,93</w:t>
            </w:r>
          </w:p>
        </w:tc>
      </w:tr>
      <w:tr w:rsidR="004E10B7" w:rsidRPr="004E10B7" w14:paraId="2A2A8455" w14:textId="77777777" w:rsidTr="008A32EC">
        <w:trPr>
          <w:trHeight w:val="300"/>
          <w:jc w:val="center"/>
        </w:trPr>
        <w:tc>
          <w:tcPr>
            <w:tcW w:w="1076" w:type="dxa"/>
            <w:tcBorders>
              <w:top w:val="nil"/>
              <w:left w:val="single" w:sz="4" w:space="0" w:color="auto"/>
              <w:bottom w:val="single" w:sz="4" w:space="0" w:color="auto"/>
              <w:right w:val="single" w:sz="4" w:space="0" w:color="auto"/>
            </w:tcBorders>
            <w:shd w:val="clear" w:color="000000" w:fill="FFFFFF"/>
            <w:noWrap/>
            <w:vAlign w:val="bottom"/>
            <w:hideMark/>
          </w:tcPr>
          <w:p w14:paraId="57135A4C" w14:textId="77777777" w:rsidR="00677B34" w:rsidRPr="004E10B7" w:rsidRDefault="00677B34"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Stgo d.E.</w:t>
            </w:r>
          </w:p>
        </w:tc>
        <w:tc>
          <w:tcPr>
            <w:tcW w:w="1100" w:type="dxa"/>
            <w:tcBorders>
              <w:top w:val="nil"/>
              <w:left w:val="nil"/>
              <w:bottom w:val="single" w:sz="4" w:space="0" w:color="auto"/>
              <w:right w:val="single" w:sz="4" w:space="0" w:color="auto"/>
            </w:tcBorders>
            <w:shd w:val="clear" w:color="000000" w:fill="FFFFFF"/>
            <w:noWrap/>
            <w:vAlign w:val="bottom"/>
            <w:hideMark/>
          </w:tcPr>
          <w:p w14:paraId="1C7C02C8"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0,44</w:t>
            </w:r>
          </w:p>
        </w:tc>
        <w:tc>
          <w:tcPr>
            <w:tcW w:w="1100" w:type="dxa"/>
            <w:tcBorders>
              <w:top w:val="nil"/>
              <w:left w:val="nil"/>
              <w:bottom w:val="single" w:sz="4" w:space="0" w:color="auto"/>
              <w:right w:val="single" w:sz="4" w:space="0" w:color="auto"/>
            </w:tcBorders>
            <w:shd w:val="clear" w:color="000000" w:fill="FFFFFF"/>
            <w:noWrap/>
            <w:vAlign w:val="bottom"/>
            <w:hideMark/>
          </w:tcPr>
          <w:p w14:paraId="5C837F15"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0,39</w:t>
            </w:r>
          </w:p>
        </w:tc>
        <w:tc>
          <w:tcPr>
            <w:tcW w:w="1100" w:type="dxa"/>
            <w:tcBorders>
              <w:top w:val="nil"/>
              <w:left w:val="nil"/>
              <w:bottom w:val="single" w:sz="4" w:space="0" w:color="auto"/>
              <w:right w:val="single" w:sz="4" w:space="0" w:color="auto"/>
            </w:tcBorders>
            <w:shd w:val="clear" w:color="000000" w:fill="FFFFFF"/>
            <w:noWrap/>
            <w:vAlign w:val="bottom"/>
            <w:hideMark/>
          </w:tcPr>
          <w:p w14:paraId="3BAF2CF5"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0,45</w:t>
            </w:r>
          </w:p>
        </w:tc>
        <w:tc>
          <w:tcPr>
            <w:tcW w:w="1100" w:type="dxa"/>
            <w:tcBorders>
              <w:top w:val="nil"/>
              <w:left w:val="nil"/>
              <w:bottom w:val="single" w:sz="4" w:space="0" w:color="auto"/>
              <w:right w:val="single" w:sz="4" w:space="0" w:color="auto"/>
            </w:tcBorders>
            <w:shd w:val="clear" w:color="000000" w:fill="FFFFFF"/>
            <w:noWrap/>
            <w:vAlign w:val="bottom"/>
            <w:hideMark/>
          </w:tcPr>
          <w:p w14:paraId="4A5C9529"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89,79</w:t>
            </w:r>
          </w:p>
        </w:tc>
        <w:tc>
          <w:tcPr>
            <w:tcW w:w="1100" w:type="dxa"/>
            <w:tcBorders>
              <w:top w:val="nil"/>
              <w:left w:val="nil"/>
              <w:bottom w:val="single" w:sz="4" w:space="0" w:color="auto"/>
              <w:right w:val="single" w:sz="4" w:space="0" w:color="auto"/>
            </w:tcBorders>
            <w:shd w:val="clear" w:color="000000" w:fill="FFFFFF"/>
            <w:noWrap/>
            <w:vAlign w:val="bottom"/>
            <w:hideMark/>
          </w:tcPr>
          <w:p w14:paraId="5CD31DC9"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102,63</w:t>
            </w:r>
          </w:p>
        </w:tc>
      </w:tr>
      <w:tr w:rsidR="004E10B7" w:rsidRPr="004E10B7" w14:paraId="448502EA" w14:textId="77777777" w:rsidTr="008A32EC">
        <w:trPr>
          <w:trHeight w:val="300"/>
          <w:jc w:val="center"/>
        </w:trPr>
        <w:tc>
          <w:tcPr>
            <w:tcW w:w="1076" w:type="dxa"/>
            <w:tcBorders>
              <w:top w:val="nil"/>
              <w:left w:val="single" w:sz="4" w:space="0" w:color="auto"/>
              <w:bottom w:val="single" w:sz="4" w:space="0" w:color="auto"/>
              <w:right w:val="single" w:sz="4" w:space="0" w:color="auto"/>
            </w:tcBorders>
            <w:shd w:val="clear" w:color="000000" w:fill="FFFFFF"/>
            <w:noWrap/>
            <w:vAlign w:val="bottom"/>
            <w:hideMark/>
          </w:tcPr>
          <w:p w14:paraId="3C238254" w14:textId="77777777" w:rsidR="00677B34" w:rsidRPr="004E10B7" w:rsidRDefault="00677B34"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Tierra d.F.</w:t>
            </w:r>
          </w:p>
        </w:tc>
        <w:tc>
          <w:tcPr>
            <w:tcW w:w="1100" w:type="dxa"/>
            <w:tcBorders>
              <w:top w:val="nil"/>
              <w:left w:val="nil"/>
              <w:bottom w:val="single" w:sz="4" w:space="0" w:color="auto"/>
              <w:right w:val="single" w:sz="4" w:space="0" w:color="auto"/>
            </w:tcBorders>
            <w:shd w:val="clear" w:color="000000" w:fill="FFFFFF"/>
            <w:noWrap/>
            <w:vAlign w:val="bottom"/>
            <w:hideMark/>
          </w:tcPr>
          <w:p w14:paraId="394B9500"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2,96</w:t>
            </w:r>
          </w:p>
        </w:tc>
        <w:tc>
          <w:tcPr>
            <w:tcW w:w="1100" w:type="dxa"/>
            <w:tcBorders>
              <w:top w:val="nil"/>
              <w:left w:val="nil"/>
              <w:bottom w:val="single" w:sz="4" w:space="0" w:color="auto"/>
              <w:right w:val="single" w:sz="4" w:space="0" w:color="auto"/>
            </w:tcBorders>
            <w:shd w:val="clear" w:color="000000" w:fill="FFFFFF"/>
            <w:noWrap/>
            <w:vAlign w:val="bottom"/>
            <w:hideMark/>
          </w:tcPr>
          <w:p w14:paraId="239FFB97"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2,20</w:t>
            </w:r>
          </w:p>
        </w:tc>
        <w:tc>
          <w:tcPr>
            <w:tcW w:w="1100" w:type="dxa"/>
            <w:tcBorders>
              <w:top w:val="nil"/>
              <w:left w:val="nil"/>
              <w:bottom w:val="single" w:sz="4" w:space="0" w:color="auto"/>
              <w:right w:val="single" w:sz="4" w:space="0" w:color="auto"/>
            </w:tcBorders>
            <w:shd w:val="clear" w:color="000000" w:fill="FFFFFF"/>
            <w:noWrap/>
            <w:vAlign w:val="bottom"/>
            <w:hideMark/>
          </w:tcPr>
          <w:p w14:paraId="4B839A7C"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2,36</w:t>
            </w:r>
          </w:p>
        </w:tc>
        <w:tc>
          <w:tcPr>
            <w:tcW w:w="1100" w:type="dxa"/>
            <w:tcBorders>
              <w:top w:val="nil"/>
              <w:left w:val="nil"/>
              <w:bottom w:val="single" w:sz="4" w:space="0" w:color="auto"/>
              <w:right w:val="single" w:sz="4" w:space="0" w:color="auto"/>
            </w:tcBorders>
            <w:shd w:val="clear" w:color="000000" w:fill="FFFFFF"/>
            <w:noWrap/>
            <w:vAlign w:val="bottom"/>
            <w:hideMark/>
          </w:tcPr>
          <w:p w14:paraId="12CA5D98"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74,16</w:t>
            </w:r>
          </w:p>
        </w:tc>
        <w:tc>
          <w:tcPr>
            <w:tcW w:w="1100" w:type="dxa"/>
            <w:tcBorders>
              <w:top w:val="nil"/>
              <w:left w:val="nil"/>
              <w:bottom w:val="single" w:sz="4" w:space="0" w:color="auto"/>
              <w:right w:val="single" w:sz="4" w:space="0" w:color="auto"/>
            </w:tcBorders>
            <w:shd w:val="clear" w:color="000000" w:fill="FFFFFF"/>
            <w:noWrap/>
            <w:vAlign w:val="bottom"/>
            <w:hideMark/>
          </w:tcPr>
          <w:p w14:paraId="78753BD3"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79,66</w:t>
            </w:r>
          </w:p>
        </w:tc>
      </w:tr>
      <w:tr w:rsidR="004E10B7" w:rsidRPr="004E10B7" w14:paraId="34C506C1" w14:textId="77777777" w:rsidTr="008A32EC">
        <w:trPr>
          <w:trHeight w:val="300"/>
          <w:jc w:val="center"/>
        </w:trPr>
        <w:tc>
          <w:tcPr>
            <w:tcW w:w="1076" w:type="dxa"/>
            <w:tcBorders>
              <w:top w:val="nil"/>
              <w:left w:val="single" w:sz="4" w:space="0" w:color="auto"/>
              <w:bottom w:val="single" w:sz="4" w:space="0" w:color="auto"/>
              <w:right w:val="single" w:sz="4" w:space="0" w:color="auto"/>
            </w:tcBorders>
            <w:shd w:val="clear" w:color="000000" w:fill="FFFFFF"/>
            <w:noWrap/>
            <w:vAlign w:val="bottom"/>
            <w:hideMark/>
          </w:tcPr>
          <w:p w14:paraId="3DCDAF30" w14:textId="77777777" w:rsidR="00677B34" w:rsidRPr="004E10B7" w:rsidRDefault="00677B34"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Tucu.</w:t>
            </w:r>
          </w:p>
        </w:tc>
        <w:tc>
          <w:tcPr>
            <w:tcW w:w="1100" w:type="dxa"/>
            <w:tcBorders>
              <w:top w:val="nil"/>
              <w:left w:val="nil"/>
              <w:bottom w:val="single" w:sz="4" w:space="0" w:color="auto"/>
              <w:right w:val="single" w:sz="4" w:space="0" w:color="auto"/>
            </w:tcBorders>
            <w:shd w:val="clear" w:color="000000" w:fill="FFFFFF"/>
            <w:noWrap/>
            <w:vAlign w:val="bottom"/>
            <w:hideMark/>
          </w:tcPr>
          <w:p w14:paraId="16C698A9"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0,57</w:t>
            </w:r>
          </w:p>
        </w:tc>
        <w:tc>
          <w:tcPr>
            <w:tcW w:w="1100" w:type="dxa"/>
            <w:tcBorders>
              <w:top w:val="nil"/>
              <w:left w:val="nil"/>
              <w:bottom w:val="single" w:sz="4" w:space="0" w:color="auto"/>
              <w:right w:val="single" w:sz="4" w:space="0" w:color="auto"/>
            </w:tcBorders>
            <w:shd w:val="clear" w:color="000000" w:fill="FFFFFF"/>
            <w:noWrap/>
            <w:vAlign w:val="bottom"/>
            <w:hideMark/>
          </w:tcPr>
          <w:p w14:paraId="5BDB452A"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0,45</w:t>
            </w:r>
          </w:p>
        </w:tc>
        <w:tc>
          <w:tcPr>
            <w:tcW w:w="1100" w:type="dxa"/>
            <w:tcBorders>
              <w:top w:val="nil"/>
              <w:left w:val="nil"/>
              <w:bottom w:val="single" w:sz="4" w:space="0" w:color="auto"/>
              <w:right w:val="single" w:sz="4" w:space="0" w:color="auto"/>
            </w:tcBorders>
            <w:shd w:val="clear" w:color="000000" w:fill="FFFFFF"/>
            <w:noWrap/>
            <w:vAlign w:val="bottom"/>
            <w:hideMark/>
          </w:tcPr>
          <w:p w14:paraId="05F937D3"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0,42</w:t>
            </w:r>
          </w:p>
        </w:tc>
        <w:tc>
          <w:tcPr>
            <w:tcW w:w="1100" w:type="dxa"/>
            <w:tcBorders>
              <w:top w:val="nil"/>
              <w:left w:val="nil"/>
              <w:bottom w:val="single" w:sz="4" w:space="0" w:color="auto"/>
              <w:right w:val="single" w:sz="4" w:space="0" w:color="auto"/>
            </w:tcBorders>
            <w:shd w:val="clear" w:color="000000" w:fill="FFFFFF"/>
            <w:noWrap/>
            <w:vAlign w:val="bottom"/>
            <w:hideMark/>
          </w:tcPr>
          <w:p w14:paraId="44DF4BC8"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79,64</w:t>
            </w:r>
          </w:p>
        </w:tc>
        <w:tc>
          <w:tcPr>
            <w:tcW w:w="1100" w:type="dxa"/>
            <w:tcBorders>
              <w:top w:val="nil"/>
              <w:left w:val="nil"/>
              <w:bottom w:val="single" w:sz="4" w:space="0" w:color="auto"/>
              <w:right w:val="single" w:sz="4" w:space="0" w:color="auto"/>
            </w:tcBorders>
            <w:shd w:val="clear" w:color="000000" w:fill="FFFFFF"/>
            <w:noWrap/>
            <w:vAlign w:val="bottom"/>
            <w:hideMark/>
          </w:tcPr>
          <w:p w14:paraId="456AFEFD" w14:textId="77777777" w:rsidR="00677B34" w:rsidRPr="004E10B7" w:rsidRDefault="00677B34"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74,05</w:t>
            </w:r>
          </w:p>
        </w:tc>
      </w:tr>
    </w:tbl>
    <w:p w14:paraId="0B5CB062" w14:textId="77777777" w:rsidR="007163AB" w:rsidRPr="004E10B7" w:rsidRDefault="007163AB" w:rsidP="008B5D7F">
      <w:pPr>
        <w:spacing w:line="240" w:lineRule="auto"/>
        <w:jc w:val="center"/>
        <w:rPr>
          <w:rFonts w:cstheme="minorHAnsi"/>
          <w:sz w:val="16"/>
          <w:szCs w:val="16"/>
          <w:lang w:val="es-AR"/>
        </w:rPr>
      </w:pPr>
      <w:r w:rsidRPr="004E10B7">
        <w:rPr>
          <w:rFonts w:cstheme="minorHAnsi"/>
          <w:sz w:val="16"/>
          <w:szCs w:val="16"/>
          <w:lang w:val="es-AR"/>
        </w:rPr>
        <w:t>Fuente: Elaboración propia.</w:t>
      </w:r>
    </w:p>
    <w:p w14:paraId="33263949" w14:textId="659AB544" w:rsidR="004029FD" w:rsidRPr="004E10B7" w:rsidRDefault="004029FD" w:rsidP="008B5D7F">
      <w:pPr>
        <w:spacing w:line="240" w:lineRule="auto"/>
        <w:rPr>
          <w:rFonts w:cstheme="minorHAnsi"/>
          <w:lang w:val="es-AR"/>
        </w:rPr>
      </w:pPr>
      <w:r w:rsidRPr="004E10B7">
        <w:rPr>
          <w:rFonts w:cstheme="minorHAnsi"/>
          <w:lang w:val="es-AR"/>
        </w:rPr>
        <w:t xml:space="preserve">En </w:t>
      </w:r>
      <w:r w:rsidRPr="002F1563">
        <w:rPr>
          <w:rFonts w:cstheme="minorHAnsi"/>
          <w:lang w:val="es-AR"/>
        </w:rPr>
        <w:t xml:space="preserve">el </w:t>
      </w:r>
      <w:r w:rsidR="002F1563" w:rsidRPr="002F1563">
        <w:rPr>
          <w:rFonts w:cstheme="minorHAnsi"/>
          <w:lang w:val="es-AR"/>
        </w:rPr>
        <w:t>gráfico 3</w:t>
      </w:r>
      <w:r w:rsidRPr="004E10B7">
        <w:rPr>
          <w:rFonts w:cstheme="minorHAnsi"/>
          <w:lang w:val="es-AR"/>
        </w:rPr>
        <w:t xml:space="preserve"> se presenta </w:t>
      </w:r>
      <w:r w:rsidR="002F1563">
        <w:rPr>
          <w:rFonts w:cstheme="minorHAnsi"/>
          <w:lang w:val="es-AR"/>
        </w:rPr>
        <w:t>la</w:t>
      </w:r>
      <w:r w:rsidRPr="004E10B7">
        <w:rPr>
          <w:rFonts w:cstheme="minorHAnsi"/>
          <w:lang w:val="es-AR"/>
        </w:rPr>
        <w:t xml:space="preserve"> dispersión respecto de la media de la capacidad fiscal y el esfuerzo fiscal medidos por CF1 y EF1. Para su construcción se calculó el EF</w:t>
      </w:r>
      <w:r w:rsidR="00F80AE8" w:rsidRPr="004E10B7">
        <w:rPr>
          <w:rFonts w:cstheme="minorHAnsi"/>
          <w:lang w:val="es-AR"/>
        </w:rPr>
        <w:t>1</w:t>
      </w:r>
      <w:r w:rsidRPr="004E10B7">
        <w:rPr>
          <w:rFonts w:cstheme="minorHAnsi"/>
          <w:lang w:val="es-AR"/>
        </w:rPr>
        <w:t xml:space="preserve"> y CF</w:t>
      </w:r>
      <w:r w:rsidR="00F80AE8" w:rsidRPr="004E10B7">
        <w:rPr>
          <w:rFonts w:cstheme="minorHAnsi"/>
          <w:lang w:val="es-AR"/>
        </w:rPr>
        <w:t>1</w:t>
      </w:r>
      <w:r w:rsidRPr="004E10B7">
        <w:rPr>
          <w:rFonts w:cstheme="minorHAnsi"/>
          <w:lang w:val="es-AR"/>
        </w:rPr>
        <w:t xml:space="preserve"> promedio de los valores de </w:t>
      </w:r>
      <w:r w:rsidR="00400293">
        <w:rPr>
          <w:rFonts w:cstheme="minorHAnsi"/>
          <w:lang w:val="es-AR"/>
        </w:rPr>
        <w:t>los indicadores bajo estudio</w:t>
      </w:r>
      <w:r w:rsidRPr="004E10B7">
        <w:rPr>
          <w:rFonts w:cstheme="minorHAnsi"/>
          <w:lang w:val="es-AR"/>
        </w:rPr>
        <w:t xml:space="preserve"> para cada provincia de todo el periodo analizado (promedio del valor de CF y EF de cada provincia en el periodo 1993-2014). Aquellas provincias que se encuentran en el cuadrante superior derecho, delimitado por las medias de CF y EF, son aquellas que presentaron, en promedio, </w:t>
      </w:r>
      <w:r w:rsidR="00400293">
        <w:rPr>
          <w:rFonts w:cstheme="minorHAnsi"/>
          <w:lang w:val="es-AR"/>
        </w:rPr>
        <w:t>valores mayores de estos indicadores</w:t>
      </w:r>
      <w:r w:rsidRPr="004E10B7">
        <w:rPr>
          <w:rFonts w:cstheme="minorHAnsi"/>
          <w:lang w:val="es-AR"/>
        </w:rPr>
        <w:t>. Estas provincias son CABA, Tierra del Fuego y Neuquén.</w:t>
      </w:r>
    </w:p>
    <w:p w14:paraId="7C08DDC1" w14:textId="3F60D191" w:rsidR="00677B34" w:rsidRPr="004E10B7" w:rsidRDefault="00C64452" w:rsidP="008B5D7F">
      <w:pPr>
        <w:spacing w:line="240" w:lineRule="auto"/>
        <w:rPr>
          <w:rFonts w:cstheme="minorHAnsi"/>
          <w:lang w:val="es-AR"/>
        </w:rPr>
      </w:pPr>
      <w:r w:rsidRPr="004E10B7">
        <w:rPr>
          <w:rFonts w:cstheme="minorHAnsi"/>
          <w:lang w:val="es-AR"/>
        </w:rPr>
        <w:t>Las</w:t>
      </w:r>
      <w:r w:rsidR="00DE350B" w:rsidRPr="004E10B7">
        <w:rPr>
          <w:rFonts w:cstheme="minorHAnsi"/>
          <w:lang w:val="es-AR"/>
        </w:rPr>
        <w:t xml:space="preserve"> </w:t>
      </w:r>
      <w:r w:rsidRPr="004E10B7">
        <w:rPr>
          <w:rFonts w:cstheme="minorHAnsi"/>
          <w:lang w:val="es-AR"/>
        </w:rPr>
        <w:t>provincias que se encuentran en el cuadrante superior izquierdo presentaron una CF superior a la media, pero un EF inferior a la media de las provincias argentinas. En este cuadrante se encuentran Catamarca, Chubut, Santa Cruz y La Pampa.</w:t>
      </w:r>
    </w:p>
    <w:p w14:paraId="17FADBD9" w14:textId="260F289E" w:rsidR="001D134C" w:rsidRPr="004E10B7" w:rsidRDefault="00C64452" w:rsidP="008B5D7F">
      <w:pPr>
        <w:spacing w:line="240" w:lineRule="auto"/>
        <w:rPr>
          <w:rFonts w:cstheme="minorHAnsi"/>
          <w:lang w:val="es-AR"/>
        </w:rPr>
      </w:pPr>
      <w:r w:rsidRPr="004E10B7">
        <w:rPr>
          <w:rFonts w:cstheme="minorHAnsi"/>
          <w:lang w:val="es-AR"/>
        </w:rPr>
        <w:t>En el cuadrante inferior izquierdo se ubican las provincias que presentaron tanto CF como EF menor a la media. Entre las provincias en esta situación se puede mencionar a La Rioja, Formosa y Mendoza.</w:t>
      </w:r>
    </w:p>
    <w:p w14:paraId="2E95F9E2" w14:textId="13B99313" w:rsidR="00C64452" w:rsidRPr="004E10B7" w:rsidRDefault="00C64452" w:rsidP="008B5D7F">
      <w:pPr>
        <w:spacing w:line="240" w:lineRule="auto"/>
        <w:rPr>
          <w:rFonts w:cstheme="minorHAnsi"/>
          <w:lang w:val="es-AR"/>
        </w:rPr>
      </w:pPr>
      <w:r w:rsidRPr="004E10B7">
        <w:rPr>
          <w:rFonts w:cstheme="minorHAnsi"/>
          <w:lang w:val="es-AR"/>
        </w:rPr>
        <w:lastRenderedPageBreak/>
        <w:t>El cuadrante inferior derecho engloba a aquellas provincias que presentaron un esfuerzo fiscal superior al promedio, pero cuya capacidad fiscal es menor a la media de las provincias argentinas. Entre las provincias que se ubican en este lugar se puede mencionar a Buenos Aires, Tucumán y Misiones.</w:t>
      </w:r>
    </w:p>
    <w:p w14:paraId="0DD0C284" w14:textId="77777777" w:rsidR="001D134C" w:rsidRPr="004E10B7" w:rsidRDefault="001D134C" w:rsidP="008B5D7F">
      <w:pPr>
        <w:pStyle w:val="Prrafodelista"/>
        <w:numPr>
          <w:ilvl w:val="0"/>
          <w:numId w:val="5"/>
        </w:numPr>
        <w:spacing w:line="240" w:lineRule="auto"/>
        <w:rPr>
          <w:lang w:val="es-AR"/>
        </w:rPr>
      </w:pPr>
      <w:r w:rsidRPr="004E10B7">
        <w:rPr>
          <w:lang w:val="es-AR"/>
        </w:rPr>
        <w:t>Dispersión respecto de la media de EF y CF de las provincias argentinas. Promedio 1993-2014. - CF1 y EF1.</w:t>
      </w:r>
    </w:p>
    <w:p w14:paraId="1CC2FBA6" w14:textId="77777777" w:rsidR="001D134C" w:rsidRPr="004E10B7" w:rsidRDefault="001D134C" w:rsidP="008B5D7F">
      <w:pPr>
        <w:spacing w:line="240" w:lineRule="auto"/>
        <w:jc w:val="center"/>
        <w:rPr>
          <w:rFonts w:cstheme="minorHAnsi"/>
          <w:lang w:val="es-AR"/>
        </w:rPr>
      </w:pPr>
      <w:r w:rsidRPr="004E10B7">
        <w:rPr>
          <w:rFonts w:cstheme="minorHAnsi"/>
          <w:noProof/>
          <w:lang w:val="es-AR" w:eastAsia="es-AR"/>
        </w:rPr>
        <w:drawing>
          <wp:inline distT="0" distB="0" distL="0" distR="0" wp14:anchorId="5DFFCB2A" wp14:editId="42CE63C2">
            <wp:extent cx="5144332" cy="3051959"/>
            <wp:effectExtent l="0" t="0" r="0" b="0"/>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6660" cy="3053340"/>
                    </a:xfrm>
                    <a:prstGeom prst="rect">
                      <a:avLst/>
                    </a:prstGeom>
                    <a:noFill/>
                  </pic:spPr>
                </pic:pic>
              </a:graphicData>
            </a:graphic>
          </wp:inline>
        </w:drawing>
      </w:r>
    </w:p>
    <w:p w14:paraId="745F37E9" w14:textId="77777777" w:rsidR="007163AB" w:rsidRPr="004E10B7" w:rsidRDefault="007163AB" w:rsidP="008B5D7F">
      <w:pPr>
        <w:spacing w:line="240" w:lineRule="auto"/>
        <w:jc w:val="center"/>
        <w:rPr>
          <w:rFonts w:cstheme="minorHAnsi"/>
          <w:sz w:val="16"/>
          <w:szCs w:val="16"/>
          <w:lang w:val="es-AR"/>
        </w:rPr>
      </w:pPr>
      <w:r w:rsidRPr="004E10B7">
        <w:rPr>
          <w:rFonts w:cstheme="minorHAnsi"/>
          <w:sz w:val="16"/>
          <w:szCs w:val="16"/>
          <w:lang w:val="es-AR"/>
        </w:rPr>
        <w:t>Fuente: Elaboración propia.</w:t>
      </w:r>
    </w:p>
    <w:p w14:paraId="6DEDC4C9" w14:textId="69BCF1CF" w:rsidR="007163AB" w:rsidRDefault="00956D42" w:rsidP="008B5D7F">
      <w:pPr>
        <w:spacing w:line="240" w:lineRule="auto"/>
        <w:rPr>
          <w:rFonts w:cstheme="minorHAnsi"/>
          <w:lang w:val="es-AR"/>
        </w:rPr>
      </w:pPr>
      <w:r w:rsidRPr="004E10B7">
        <w:rPr>
          <w:rFonts w:cstheme="minorHAnsi"/>
          <w:lang w:val="es-AR"/>
        </w:rPr>
        <w:t xml:space="preserve">Los resultados de IREF1 indican que al considerar la posición relativa de cada provincia respecto del promedio anual, CABA y Buenos Aires presentan un EF superior al promedio durante los 22 años bajos análisis. Tierra del Fuego, Neuquén, Río Negro, Salta y Santa Fe se encuentran por arriban del promedio anual de EF la mayoría de los años (durante 17 años o más). </w:t>
      </w:r>
      <w:r w:rsidR="00027065" w:rsidRPr="004E10B7">
        <w:rPr>
          <w:rFonts w:cstheme="minorHAnsi"/>
          <w:lang w:val="es-AR"/>
        </w:rPr>
        <w:t xml:space="preserve">Por su parte, Corrientes, Formosa, Jujuy y La Rioja son las provincias que presentaron un esfuerzo fiscal medido por IREF1 inferior al promedio anual los 22 años bajo análisis. </w:t>
      </w:r>
      <w:r w:rsidR="00013A19" w:rsidRPr="004E10B7">
        <w:rPr>
          <w:rFonts w:cstheme="minorHAnsi"/>
          <w:lang w:val="es-AR"/>
        </w:rPr>
        <w:t>Catamarca, Chubut, La Pampa, Santiago del Estero y Santa Cruz presentan un esfuerzo fiscal inferior al promedio anual durante la mayoría de los años bajo análisis (17 años o más).</w:t>
      </w:r>
    </w:p>
    <w:p w14:paraId="276E781C" w14:textId="6E508274" w:rsidR="00464CE9" w:rsidRDefault="00464CE9" w:rsidP="008B5D7F">
      <w:pPr>
        <w:spacing w:line="240" w:lineRule="auto"/>
        <w:rPr>
          <w:rFonts w:cstheme="minorHAnsi"/>
          <w:lang w:val="es-AR"/>
        </w:rPr>
      </w:pPr>
      <w:r>
        <w:rPr>
          <w:rFonts w:cstheme="minorHAnsi"/>
          <w:lang w:val="es-AR"/>
        </w:rPr>
        <w:br w:type="page"/>
      </w:r>
    </w:p>
    <w:p w14:paraId="2013DCEC" w14:textId="27769629" w:rsidR="00391B70" w:rsidRPr="00E95008" w:rsidRDefault="00391B70" w:rsidP="008B5D7F">
      <w:pPr>
        <w:pStyle w:val="Prrafodelista"/>
        <w:numPr>
          <w:ilvl w:val="0"/>
          <w:numId w:val="5"/>
        </w:numPr>
        <w:spacing w:line="240" w:lineRule="auto"/>
        <w:rPr>
          <w:b/>
          <w:lang w:val="es-AR"/>
        </w:rPr>
      </w:pPr>
      <w:r w:rsidRPr="00E95008">
        <w:rPr>
          <w:b/>
          <w:lang w:val="es-MX"/>
        </w:rPr>
        <w:lastRenderedPageBreak/>
        <w:t>Cantidad de años en que cada provincia se encuentra por arriba y por debajo del promedio anual de esfuerzo fiscal en el periodo 1993-2014– IREF1.</w:t>
      </w:r>
    </w:p>
    <w:p w14:paraId="44B2C953" w14:textId="1F413618" w:rsidR="00391B70" w:rsidRDefault="00391B70" w:rsidP="008B5D7F">
      <w:pPr>
        <w:spacing w:line="240" w:lineRule="auto"/>
        <w:jc w:val="center"/>
        <w:rPr>
          <w:rFonts w:cstheme="minorHAnsi"/>
          <w:color w:val="00B050"/>
          <w:lang w:val="es-AR"/>
        </w:rPr>
      </w:pPr>
      <w:r>
        <w:rPr>
          <w:noProof/>
          <w:lang w:val="es-AR" w:eastAsia="es-AR"/>
        </w:rPr>
        <w:drawing>
          <wp:inline distT="0" distB="0" distL="0" distR="0" wp14:anchorId="23C501A6" wp14:editId="29A29181">
            <wp:extent cx="4061361" cy="2493818"/>
            <wp:effectExtent l="0" t="0" r="15875" b="1905"/>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47E6C75" w14:textId="77777777" w:rsidR="007163AB" w:rsidRPr="004E10B7" w:rsidRDefault="007163AB" w:rsidP="008B5D7F">
      <w:pPr>
        <w:spacing w:line="240" w:lineRule="auto"/>
        <w:jc w:val="center"/>
        <w:rPr>
          <w:rFonts w:cstheme="minorHAnsi"/>
          <w:sz w:val="16"/>
          <w:szCs w:val="16"/>
          <w:lang w:val="es-AR"/>
        </w:rPr>
      </w:pPr>
      <w:r w:rsidRPr="004E10B7">
        <w:rPr>
          <w:rFonts w:cstheme="minorHAnsi"/>
          <w:sz w:val="16"/>
          <w:szCs w:val="16"/>
          <w:lang w:val="es-AR"/>
        </w:rPr>
        <w:t>Fuente: Elaboración propia.</w:t>
      </w:r>
    </w:p>
    <w:p w14:paraId="23E327DD" w14:textId="4F202193" w:rsidR="009C1C20" w:rsidRPr="004E10B7" w:rsidRDefault="009C1C20" w:rsidP="008B5D7F">
      <w:pPr>
        <w:spacing w:line="240" w:lineRule="auto"/>
        <w:rPr>
          <w:rFonts w:cstheme="minorHAnsi"/>
          <w:lang w:val="es-AR"/>
        </w:rPr>
      </w:pPr>
      <w:r w:rsidRPr="004E10B7">
        <w:rPr>
          <w:rFonts w:cstheme="minorHAnsi"/>
          <w:lang w:val="es-AR"/>
        </w:rPr>
        <w:t>En cuanto a la evolución del esfuerzo fiscal de estas provincias de 1993 a 2014, según IREF1 Misiones fue la provincia que más aumentó su esfuerzo fiscal (110,56%). Tucumán y Chubut son las otras provincias que presentan mejor performance, con un aumento del esfuerzo fiscal medido por este índice de 81,78% y 55,36% respectivamente.</w:t>
      </w:r>
    </w:p>
    <w:p w14:paraId="3C276A27" w14:textId="69BFAC1E" w:rsidR="009C1C20" w:rsidRPr="004E10B7" w:rsidRDefault="00C40B64" w:rsidP="008B5D7F">
      <w:pPr>
        <w:spacing w:line="240" w:lineRule="auto"/>
        <w:rPr>
          <w:rFonts w:cstheme="minorHAnsi"/>
          <w:lang w:val="es-AR"/>
        </w:rPr>
      </w:pPr>
      <w:r w:rsidRPr="004E10B7">
        <w:rPr>
          <w:rFonts w:cstheme="minorHAnsi"/>
          <w:lang w:val="es-AR"/>
        </w:rPr>
        <w:t xml:space="preserve">La peor performance en cuanto al esfuerzo fiscal </w:t>
      </w:r>
      <w:r w:rsidR="005D4702" w:rsidRPr="004E10B7">
        <w:rPr>
          <w:rFonts w:cstheme="minorHAnsi"/>
          <w:lang w:val="es-AR"/>
        </w:rPr>
        <w:t>medido por IREF1 la presenta Catamarca con una baja de este índice de 39,53% entre 1993 y 2014. Tierra del Fuego y La Pampa también presentaron disminuciones en su esfuerzo fiscal de 25,08% y 23,88% en el periodo bajo análisis en el periodo bajo estudio.</w:t>
      </w:r>
    </w:p>
    <w:p w14:paraId="635230CA" w14:textId="47A7967F" w:rsidR="0040637C" w:rsidRPr="004E10B7" w:rsidRDefault="00C21677" w:rsidP="008B5D7F">
      <w:pPr>
        <w:spacing w:line="240" w:lineRule="auto"/>
        <w:rPr>
          <w:rFonts w:cstheme="minorHAnsi"/>
          <w:lang w:val="es-AR"/>
        </w:rPr>
      </w:pPr>
      <w:r w:rsidRPr="004E10B7">
        <w:rPr>
          <w:rFonts w:cstheme="minorHAnsi"/>
          <w:lang w:val="es-AR"/>
        </w:rPr>
        <w:t>La tasa de crecimiento 19903-2014 promedio provincial del esfuerzo fiscal según este índice es de 8,99%, y 13 provincias presentaron una performance peor que el promedio, mientras que las 11 restantes presentaron una evolución positiva superior al promedio.</w:t>
      </w:r>
    </w:p>
    <w:p w14:paraId="2F96CF9D" w14:textId="7BA94B02" w:rsidR="00391B70" w:rsidRDefault="003F60C5" w:rsidP="008B5D7F">
      <w:pPr>
        <w:spacing w:line="240" w:lineRule="auto"/>
        <w:rPr>
          <w:rFonts w:cstheme="minorHAnsi"/>
          <w:lang w:val="es-AR"/>
        </w:rPr>
      </w:pPr>
      <w:r w:rsidRPr="004E10B7">
        <w:rPr>
          <w:rFonts w:cstheme="minorHAnsi"/>
          <w:lang w:val="es-AR"/>
        </w:rPr>
        <w:t>Cabe destacar que los resultados de cuáles provincias presentan mayor y menor EF según EF1 e IREF1 son similares, como así también de cuáles han tenido una mejor performance y cuáles una peor.</w:t>
      </w:r>
      <w:r w:rsidR="00391B70">
        <w:rPr>
          <w:rFonts w:cstheme="minorHAnsi"/>
          <w:lang w:val="es-AR"/>
        </w:rPr>
        <w:br w:type="page"/>
      </w:r>
    </w:p>
    <w:p w14:paraId="0E20A89F" w14:textId="0C67881E" w:rsidR="00B64F00" w:rsidRPr="00E95008" w:rsidRDefault="00B64F00" w:rsidP="008B5D7F">
      <w:pPr>
        <w:pStyle w:val="Prrafodelista"/>
        <w:numPr>
          <w:ilvl w:val="0"/>
          <w:numId w:val="4"/>
        </w:numPr>
        <w:spacing w:line="240" w:lineRule="auto"/>
        <w:rPr>
          <w:b/>
          <w:lang w:val="es-MX"/>
        </w:rPr>
      </w:pPr>
      <w:r w:rsidRPr="00E95008">
        <w:rPr>
          <w:b/>
          <w:lang w:val="es-MX"/>
        </w:rPr>
        <w:lastRenderedPageBreak/>
        <w:t>EF por provincia y por año– IREF1 (Valor e Índice Base 100=1993).</w:t>
      </w:r>
    </w:p>
    <w:tbl>
      <w:tblPr>
        <w:tblW w:w="7276" w:type="dxa"/>
        <w:jc w:val="center"/>
        <w:tblCellMar>
          <w:left w:w="70" w:type="dxa"/>
          <w:right w:w="70" w:type="dxa"/>
        </w:tblCellMar>
        <w:tblLook w:val="04A0" w:firstRow="1" w:lastRow="0" w:firstColumn="1" w:lastColumn="0" w:noHBand="0" w:noVBand="1"/>
      </w:tblPr>
      <w:tblGrid>
        <w:gridCol w:w="1076"/>
        <w:gridCol w:w="1240"/>
        <w:gridCol w:w="1240"/>
        <w:gridCol w:w="1240"/>
        <w:gridCol w:w="1240"/>
        <w:gridCol w:w="1240"/>
      </w:tblGrid>
      <w:tr w:rsidR="004E10B7" w:rsidRPr="004E10B7" w14:paraId="71F64545" w14:textId="77777777" w:rsidTr="008A32EC">
        <w:trPr>
          <w:trHeight w:val="300"/>
          <w:jc w:val="center"/>
        </w:trPr>
        <w:tc>
          <w:tcPr>
            <w:tcW w:w="1076" w:type="dxa"/>
            <w:tcBorders>
              <w:top w:val="nil"/>
              <w:left w:val="nil"/>
              <w:bottom w:val="nil"/>
              <w:right w:val="nil"/>
            </w:tcBorders>
            <w:shd w:val="clear" w:color="auto" w:fill="auto"/>
            <w:noWrap/>
            <w:vAlign w:val="bottom"/>
            <w:hideMark/>
          </w:tcPr>
          <w:p w14:paraId="51421983" w14:textId="77777777" w:rsidR="0040637C" w:rsidRPr="004E10B7" w:rsidRDefault="0040637C" w:rsidP="008B5D7F">
            <w:pPr>
              <w:spacing w:after="0" w:line="240" w:lineRule="auto"/>
              <w:ind w:firstLine="0"/>
              <w:jc w:val="left"/>
              <w:rPr>
                <w:rFonts w:ascii="Times New Roman" w:eastAsia="Times New Roman" w:hAnsi="Times New Roman" w:cs="Times New Roman"/>
                <w:sz w:val="24"/>
                <w:szCs w:val="24"/>
                <w:lang w:val="es-AR" w:eastAsia="es-AR"/>
              </w:rPr>
            </w:pPr>
          </w:p>
        </w:tc>
        <w:tc>
          <w:tcPr>
            <w:tcW w:w="372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D99E37" w14:textId="77777777" w:rsidR="0040637C" w:rsidRPr="004E10B7" w:rsidRDefault="0040637C" w:rsidP="008B5D7F">
            <w:pPr>
              <w:spacing w:after="0" w:line="240" w:lineRule="auto"/>
              <w:ind w:firstLine="0"/>
              <w:jc w:val="center"/>
              <w:rPr>
                <w:rFonts w:ascii="Calibri" w:eastAsia="Times New Roman" w:hAnsi="Calibri" w:cs="Calibri"/>
                <w:lang w:val="es-AR" w:eastAsia="es-AR"/>
              </w:rPr>
            </w:pPr>
            <w:r w:rsidRPr="004E10B7">
              <w:rPr>
                <w:rFonts w:ascii="Calibri" w:eastAsia="Times New Roman" w:hAnsi="Calibri" w:cs="Calibri"/>
                <w:lang w:val="es-AR" w:eastAsia="es-AR"/>
              </w:rPr>
              <w:t>Valor</w:t>
            </w:r>
          </w:p>
        </w:tc>
        <w:tc>
          <w:tcPr>
            <w:tcW w:w="248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A9785D7" w14:textId="77777777" w:rsidR="0040637C" w:rsidRPr="004E10B7" w:rsidRDefault="0040637C" w:rsidP="008B5D7F">
            <w:pPr>
              <w:spacing w:after="0" w:line="240" w:lineRule="auto"/>
              <w:ind w:firstLine="0"/>
              <w:jc w:val="center"/>
              <w:rPr>
                <w:rFonts w:ascii="Calibri" w:eastAsia="Times New Roman" w:hAnsi="Calibri" w:cs="Calibri"/>
                <w:lang w:val="es-AR" w:eastAsia="es-AR"/>
              </w:rPr>
            </w:pPr>
            <w:r w:rsidRPr="004E10B7">
              <w:rPr>
                <w:rFonts w:ascii="Calibri" w:eastAsia="Times New Roman" w:hAnsi="Calibri" w:cs="Calibri"/>
                <w:lang w:val="es-AR" w:eastAsia="es-AR"/>
              </w:rPr>
              <w:t>Índice Base 100=1993</w:t>
            </w:r>
          </w:p>
        </w:tc>
      </w:tr>
      <w:tr w:rsidR="004E10B7" w:rsidRPr="004E10B7" w14:paraId="6B3C0185" w14:textId="77777777" w:rsidTr="008A32EC">
        <w:trPr>
          <w:trHeight w:val="300"/>
          <w:jc w:val="center"/>
        </w:trPr>
        <w:tc>
          <w:tcPr>
            <w:tcW w:w="1076" w:type="dxa"/>
            <w:tcBorders>
              <w:top w:val="nil"/>
              <w:left w:val="nil"/>
              <w:bottom w:val="nil"/>
              <w:right w:val="nil"/>
            </w:tcBorders>
            <w:shd w:val="clear" w:color="000000" w:fill="FFFFFF"/>
            <w:noWrap/>
            <w:vAlign w:val="bottom"/>
            <w:hideMark/>
          </w:tcPr>
          <w:p w14:paraId="0FCC62CD" w14:textId="77777777" w:rsidR="0040637C" w:rsidRPr="004E10B7" w:rsidRDefault="0040637C"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 </w:t>
            </w:r>
          </w:p>
        </w:tc>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14:paraId="2EF71A55" w14:textId="77777777" w:rsidR="0040637C" w:rsidRPr="004E10B7" w:rsidRDefault="0040637C" w:rsidP="008B5D7F">
            <w:pPr>
              <w:spacing w:after="0" w:line="240" w:lineRule="auto"/>
              <w:ind w:firstLine="0"/>
              <w:jc w:val="center"/>
              <w:rPr>
                <w:rFonts w:ascii="Calibri" w:eastAsia="Times New Roman" w:hAnsi="Calibri" w:cs="Calibri"/>
                <w:lang w:val="es-AR" w:eastAsia="es-AR"/>
              </w:rPr>
            </w:pPr>
            <w:r w:rsidRPr="004E10B7">
              <w:rPr>
                <w:rFonts w:ascii="Calibri" w:eastAsia="Times New Roman" w:hAnsi="Calibri" w:cs="Calibri"/>
                <w:lang w:val="es-AR" w:eastAsia="es-AR"/>
              </w:rPr>
              <w:t>1993</w:t>
            </w:r>
          </w:p>
        </w:tc>
        <w:tc>
          <w:tcPr>
            <w:tcW w:w="1240" w:type="dxa"/>
            <w:tcBorders>
              <w:top w:val="nil"/>
              <w:left w:val="nil"/>
              <w:bottom w:val="single" w:sz="4" w:space="0" w:color="auto"/>
              <w:right w:val="single" w:sz="4" w:space="0" w:color="auto"/>
            </w:tcBorders>
            <w:shd w:val="clear" w:color="000000" w:fill="FFFFFF"/>
            <w:noWrap/>
            <w:vAlign w:val="bottom"/>
            <w:hideMark/>
          </w:tcPr>
          <w:p w14:paraId="58B9E9C5" w14:textId="77777777" w:rsidR="0040637C" w:rsidRPr="004E10B7" w:rsidRDefault="0040637C" w:rsidP="008B5D7F">
            <w:pPr>
              <w:spacing w:after="0" w:line="240" w:lineRule="auto"/>
              <w:ind w:firstLine="0"/>
              <w:jc w:val="center"/>
              <w:rPr>
                <w:rFonts w:ascii="Calibri" w:eastAsia="Times New Roman" w:hAnsi="Calibri" w:cs="Calibri"/>
                <w:lang w:val="es-AR" w:eastAsia="es-AR"/>
              </w:rPr>
            </w:pPr>
            <w:r w:rsidRPr="004E10B7">
              <w:rPr>
                <w:rFonts w:ascii="Calibri" w:eastAsia="Times New Roman" w:hAnsi="Calibri" w:cs="Calibri"/>
                <w:lang w:val="es-AR" w:eastAsia="es-AR"/>
              </w:rPr>
              <w:t>2004</w:t>
            </w:r>
          </w:p>
        </w:tc>
        <w:tc>
          <w:tcPr>
            <w:tcW w:w="1240" w:type="dxa"/>
            <w:tcBorders>
              <w:top w:val="nil"/>
              <w:left w:val="nil"/>
              <w:bottom w:val="single" w:sz="4" w:space="0" w:color="auto"/>
              <w:right w:val="single" w:sz="4" w:space="0" w:color="auto"/>
            </w:tcBorders>
            <w:shd w:val="clear" w:color="000000" w:fill="FFFFFF"/>
            <w:noWrap/>
            <w:vAlign w:val="bottom"/>
            <w:hideMark/>
          </w:tcPr>
          <w:p w14:paraId="6F4A21ED" w14:textId="77777777" w:rsidR="0040637C" w:rsidRPr="004E10B7" w:rsidRDefault="0040637C" w:rsidP="008B5D7F">
            <w:pPr>
              <w:spacing w:after="0" w:line="240" w:lineRule="auto"/>
              <w:ind w:firstLine="0"/>
              <w:jc w:val="center"/>
              <w:rPr>
                <w:rFonts w:ascii="Calibri" w:eastAsia="Times New Roman" w:hAnsi="Calibri" w:cs="Calibri"/>
                <w:lang w:val="es-AR" w:eastAsia="es-AR"/>
              </w:rPr>
            </w:pPr>
            <w:r w:rsidRPr="004E10B7">
              <w:rPr>
                <w:rFonts w:ascii="Calibri" w:eastAsia="Times New Roman" w:hAnsi="Calibri" w:cs="Calibri"/>
                <w:lang w:val="es-AR" w:eastAsia="es-AR"/>
              </w:rPr>
              <w:t>2014</w:t>
            </w:r>
          </w:p>
        </w:tc>
        <w:tc>
          <w:tcPr>
            <w:tcW w:w="1240" w:type="dxa"/>
            <w:tcBorders>
              <w:top w:val="nil"/>
              <w:left w:val="nil"/>
              <w:bottom w:val="single" w:sz="4" w:space="0" w:color="auto"/>
              <w:right w:val="single" w:sz="4" w:space="0" w:color="auto"/>
            </w:tcBorders>
            <w:shd w:val="clear" w:color="000000" w:fill="FFFFFF"/>
            <w:noWrap/>
            <w:vAlign w:val="bottom"/>
            <w:hideMark/>
          </w:tcPr>
          <w:p w14:paraId="0A046881" w14:textId="77777777" w:rsidR="0040637C" w:rsidRPr="004E10B7" w:rsidRDefault="0040637C" w:rsidP="008B5D7F">
            <w:pPr>
              <w:spacing w:after="0" w:line="240" w:lineRule="auto"/>
              <w:ind w:firstLine="0"/>
              <w:jc w:val="center"/>
              <w:rPr>
                <w:rFonts w:ascii="Calibri" w:eastAsia="Times New Roman" w:hAnsi="Calibri" w:cs="Calibri"/>
                <w:lang w:val="es-AR" w:eastAsia="es-AR"/>
              </w:rPr>
            </w:pPr>
            <w:r w:rsidRPr="004E10B7">
              <w:rPr>
                <w:rFonts w:ascii="Calibri" w:eastAsia="Times New Roman" w:hAnsi="Calibri" w:cs="Calibri"/>
                <w:lang w:val="es-AR" w:eastAsia="es-AR"/>
              </w:rPr>
              <w:t>2004</w:t>
            </w:r>
          </w:p>
        </w:tc>
        <w:tc>
          <w:tcPr>
            <w:tcW w:w="1240" w:type="dxa"/>
            <w:tcBorders>
              <w:top w:val="nil"/>
              <w:left w:val="nil"/>
              <w:bottom w:val="single" w:sz="4" w:space="0" w:color="auto"/>
              <w:right w:val="single" w:sz="4" w:space="0" w:color="auto"/>
            </w:tcBorders>
            <w:shd w:val="clear" w:color="000000" w:fill="FFFFFF"/>
            <w:noWrap/>
            <w:vAlign w:val="bottom"/>
            <w:hideMark/>
          </w:tcPr>
          <w:p w14:paraId="6629C373" w14:textId="77777777" w:rsidR="0040637C" w:rsidRPr="004E10B7" w:rsidRDefault="0040637C" w:rsidP="008B5D7F">
            <w:pPr>
              <w:spacing w:after="0" w:line="240" w:lineRule="auto"/>
              <w:ind w:firstLine="0"/>
              <w:jc w:val="center"/>
              <w:rPr>
                <w:rFonts w:ascii="Calibri" w:eastAsia="Times New Roman" w:hAnsi="Calibri" w:cs="Calibri"/>
                <w:lang w:val="es-AR" w:eastAsia="es-AR"/>
              </w:rPr>
            </w:pPr>
            <w:r w:rsidRPr="004E10B7">
              <w:rPr>
                <w:rFonts w:ascii="Calibri" w:eastAsia="Times New Roman" w:hAnsi="Calibri" w:cs="Calibri"/>
                <w:lang w:val="es-AR" w:eastAsia="es-AR"/>
              </w:rPr>
              <w:t>2014</w:t>
            </w:r>
          </w:p>
        </w:tc>
      </w:tr>
      <w:tr w:rsidR="004E10B7" w:rsidRPr="004E10B7" w14:paraId="5DFBE856" w14:textId="77777777" w:rsidTr="008A32EC">
        <w:trPr>
          <w:trHeight w:val="300"/>
          <w:jc w:val="center"/>
        </w:trPr>
        <w:tc>
          <w:tcPr>
            <w:tcW w:w="10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1336FC" w14:textId="77777777" w:rsidR="0040637C" w:rsidRPr="004E10B7" w:rsidRDefault="0040637C"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CABA</w:t>
            </w:r>
          </w:p>
        </w:tc>
        <w:tc>
          <w:tcPr>
            <w:tcW w:w="1240" w:type="dxa"/>
            <w:tcBorders>
              <w:top w:val="nil"/>
              <w:left w:val="nil"/>
              <w:bottom w:val="single" w:sz="4" w:space="0" w:color="auto"/>
              <w:right w:val="single" w:sz="4" w:space="0" w:color="auto"/>
            </w:tcBorders>
            <w:shd w:val="clear" w:color="000000" w:fill="FFFFFF"/>
            <w:noWrap/>
            <w:vAlign w:val="bottom"/>
            <w:hideMark/>
          </w:tcPr>
          <w:p w14:paraId="14316280"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1,37</w:t>
            </w:r>
          </w:p>
        </w:tc>
        <w:tc>
          <w:tcPr>
            <w:tcW w:w="1240" w:type="dxa"/>
            <w:tcBorders>
              <w:top w:val="nil"/>
              <w:left w:val="nil"/>
              <w:bottom w:val="single" w:sz="4" w:space="0" w:color="auto"/>
              <w:right w:val="single" w:sz="4" w:space="0" w:color="auto"/>
            </w:tcBorders>
            <w:shd w:val="clear" w:color="000000" w:fill="FFFFFF"/>
            <w:noWrap/>
            <w:vAlign w:val="bottom"/>
            <w:hideMark/>
          </w:tcPr>
          <w:p w14:paraId="459C9334"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1,21</w:t>
            </w:r>
          </w:p>
        </w:tc>
        <w:tc>
          <w:tcPr>
            <w:tcW w:w="1240" w:type="dxa"/>
            <w:tcBorders>
              <w:top w:val="nil"/>
              <w:left w:val="nil"/>
              <w:bottom w:val="single" w:sz="4" w:space="0" w:color="auto"/>
              <w:right w:val="single" w:sz="4" w:space="0" w:color="auto"/>
            </w:tcBorders>
            <w:shd w:val="clear" w:color="000000" w:fill="FFFFFF"/>
            <w:noWrap/>
            <w:vAlign w:val="bottom"/>
            <w:hideMark/>
          </w:tcPr>
          <w:p w14:paraId="22C80F67"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1,08</w:t>
            </w:r>
          </w:p>
        </w:tc>
        <w:tc>
          <w:tcPr>
            <w:tcW w:w="1240" w:type="dxa"/>
            <w:tcBorders>
              <w:top w:val="nil"/>
              <w:left w:val="nil"/>
              <w:bottom w:val="single" w:sz="4" w:space="0" w:color="auto"/>
              <w:right w:val="single" w:sz="4" w:space="0" w:color="auto"/>
            </w:tcBorders>
            <w:shd w:val="clear" w:color="000000" w:fill="FFFFFF"/>
            <w:noWrap/>
            <w:vAlign w:val="bottom"/>
            <w:hideMark/>
          </w:tcPr>
          <w:p w14:paraId="7003B044"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88,23</w:t>
            </w:r>
          </w:p>
        </w:tc>
        <w:tc>
          <w:tcPr>
            <w:tcW w:w="1240" w:type="dxa"/>
            <w:tcBorders>
              <w:top w:val="nil"/>
              <w:left w:val="nil"/>
              <w:bottom w:val="single" w:sz="4" w:space="0" w:color="auto"/>
              <w:right w:val="single" w:sz="4" w:space="0" w:color="auto"/>
            </w:tcBorders>
            <w:shd w:val="clear" w:color="000000" w:fill="FFFFFF"/>
            <w:noWrap/>
            <w:vAlign w:val="bottom"/>
            <w:hideMark/>
          </w:tcPr>
          <w:p w14:paraId="588E1657"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78,83</w:t>
            </w:r>
          </w:p>
        </w:tc>
      </w:tr>
      <w:tr w:rsidR="004E10B7" w:rsidRPr="004E10B7" w14:paraId="3ECDFEAF" w14:textId="77777777" w:rsidTr="008A32EC">
        <w:trPr>
          <w:trHeight w:val="300"/>
          <w:jc w:val="center"/>
        </w:trPr>
        <w:tc>
          <w:tcPr>
            <w:tcW w:w="1076" w:type="dxa"/>
            <w:tcBorders>
              <w:top w:val="nil"/>
              <w:left w:val="single" w:sz="4" w:space="0" w:color="auto"/>
              <w:bottom w:val="single" w:sz="4" w:space="0" w:color="auto"/>
              <w:right w:val="single" w:sz="4" w:space="0" w:color="auto"/>
            </w:tcBorders>
            <w:shd w:val="clear" w:color="000000" w:fill="FFFFFF"/>
            <w:noWrap/>
            <w:vAlign w:val="bottom"/>
            <w:hideMark/>
          </w:tcPr>
          <w:p w14:paraId="240D1831" w14:textId="77777777" w:rsidR="0040637C" w:rsidRPr="004E10B7" w:rsidRDefault="0040637C"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Bs As</w:t>
            </w:r>
          </w:p>
        </w:tc>
        <w:tc>
          <w:tcPr>
            <w:tcW w:w="1240" w:type="dxa"/>
            <w:tcBorders>
              <w:top w:val="nil"/>
              <w:left w:val="nil"/>
              <w:bottom w:val="single" w:sz="4" w:space="0" w:color="auto"/>
              <w:right w:val="single" w:sz="4" w:space="0" w:color="auto"/>
            </w:tcBorders>
            <w:shd w:val="clear" w:color="000000" w:fill="FFFFFF"/>
            <w:noWrap/>
            <w:vAlign w:val="bottom"/>
            <w:hideMark/>
          </w:tcPr>
          <w:p w14:paraId="2565C753"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0,87</w:t>
            </w:r>
          </w:p>
        </w:tc>
        <w:tc>
          <w:tcPr>
            <w:tcW w:w="1240" w:type="dxa"/>
            <w:tcBorders>
              <w:top w:val="nil"/>
              <w:left w:val="nil"/>
              <w:bottom w:val="single" w:sz="4" w:space="0" w:color="auto"/>
              <w:right w:val="single" w:sz="4" w:space="0" w:color="auto"/>
            </w:tcBorders>
            <w:shd w:val="clear" w:color="000000" w:fill="FFFFFF"/>
            <w:noWrap/>
            <w:vAlign w:val="bottom"/>
            <w:hideMark/>
          </w:tcPr>
          <w:p w14:paraId="4C9C857B"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1,05</w:t>
            </w:r>
          </w:p>
        </w:tc>
        <w:tc>
          <w:tcPr>
            <w:tcW w:w="1240" w:type="dxa"/>
            <w:tcBorders>
              <w:top w:val="nil"/>
              <w:left w:val="nil"/>
              <w:bottom w:val="single" w:sz="4" w:space="0" w:color="auto"/>
              <w:right w:val="single" w:sz="4" w:space="0" w:color="auto"/>
            </w:tcBorders>
            <w:shd w:val="clear" w:color="000000" w:fill="FFFFFF"/>
            <w:noWrap/>
            <w:vAlign w:val="bottom"/>
            <w:hideMark/>
          </w:tcPr>
          <w:p w14:paraId="2BB9A0B8"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1,08</w:t>
            </w:r>
          </w:p>
        </w:tc>
        <w:tc>
          <w:tcPr>
            <w:tcW w:w="1240" w:type="dxa"/>
            <w:tcBorders>
              <w:top w:val="nil"/>
              <w:left w:val="nil"/>
              <w:bottom w:val="single" w:sz="4" w:space="0" w:color="auto"/>
              <w:right w:val="single" w:sz="4" w:space="0" w:color="auto"/>
            </w:tcBorders>
            <w:shd w:val="clear" w:color="000000" w:fill="FFFFFF"/>
            <w:noWrap/>
            <w:vAlign w:val="bottom"/>
            <w:hideMark/>
          </w:tcPr>
          <w:p w14:paraId="0B576EF1"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121,59</w:t>
            </w:r>
          </w:p>
        </w:tc>
        <w:tc>
          <w:tcPr>
            <w:tcW w:w="1240" w:type="dxa"/>
            <w:tcBorders>
              <w:top w:val="nil"/>
              <w:left w:val="nil"/>
              <w:bottom w:val="single" w:sz="4" w:space="0" w:color="auto"/>
              <w:right w:val="single" w:sz="4" w:space="0" w:color="auto"/>
            </w:tcBorders>
            <w:shd w:val="clear" w:color="000000" w:fill="FFFFFF"/>
            <w:noWrap/>
            <w:vAlign w:val="bottom"/>
            <w:hideMark/>
          </w:tcPr>
          <w:p w14:paraId="3447BA97"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123,97</w:t>
            </w:r>
          </w:p>
        </w:tc>
      </w:tr>
      <w:tr w:rsidR="004E10B7" w:rsidRPr="004E10B7" w14:paraId="071D57E9" w14:textId="77777777" w:rsidTr="008A32EC">
        <w:trPr>
          <w:trHeight w:val="300"/>
          <w:jc w:val="center"/>
        </w:trPr>
        <w:tc>
          <w:tcPr>
            <w:tcW w:w="1076" w:type="dxa"/>
            <w:tcBorders>
              <w:top w:val="nil"/>
              <w:left w:val="single" w:sz="4" w:space="0" w:color="auto"/>
              <w:bottom w:val="single" w:sz="4" w:space="0" w:color="auto"/>
              <w:right w:val="single" w:sz="4" w:space="0" w:color="auto"/>
            </w:tcBorders>
            <w:shd w:val="clear" w:color="000000" w:fill="FFFFFF"/>
            <w:noWrap/>
            <w:vAlign w:val="bottom"/>
            <w:hideMark/>
          </w:tcPr>
          <w:p w14:paraId="7FB05284" w14:textId="77777777" w:rsidR="0040637C" w:rsidRPr="004E10B7" w:rsidRDefault="0040637C"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Catam.</w:t>
            </w:r>
          </w:p>
        </w:tc>
        <w:tc>
          <w:tcPr>
            <w:tcW w:w="1240" w:type="dxa"/>
            <w:tcBorders>
              <w:top w:val="nil"/>
              <w:left w:val="nil"/>
              <w:bottom w:val="single" w:sz="4" w:space="0" w:color="auto"/>
              <w:right w:val="single" w:sz="4" w:space="0" w:color="auto"/>
            </w:tcBorders>
            <w:shd w:val="clear" w:color="000000" w:fill="FFFFFF"/>
            <w:noWrap/>
            <w:vAlign w:val="bottom"/>
            <w:hideMark/>
          </w:tcPr>
          <w:p w14:paraId="2A5A9514"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0,53</w:t>
            </w:r>
          </w:p>
        </w:tc>
        <w:tc>
          <w:tcPr>
            <w:tcW w:w="1240" w:type="dxa"/>
            <w:tcBorders>
              <w:top w:val="nil"/>
              <w:left w:val="nil"/>
              <w:bottom w:val="single" w:sz="4" w:space="0" w:color="auto"/>
              <w:right w:val="single" w:sz="4" w:space="0" w:color="auto"/>
            </w:tcBorders>
            <w:shd w:val="clear" w:color="000000" w:fill="FFFFFF"/>
            <w:noWrap/>
            <w:vAlign w:val="bottom"/>
            <w:hideMark/>
          </w:tcPr>
          <w:p w14:paraId="7015F54E"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0,37</w:t>
            </w:r>
          </w:p>
        </w:tc>
        <w:tc>
          <w:tcPr>
            <w:tcW w:w="1240" w:type="dxa"/>
            <w:tcBorders>
              <w:top w:val="nil"/>
              <w:left w:val="nil"/>
              <w:bottom w:val="single" w:sz="4" w:space="0" w:color="auto"/>
              <w:right w:val="single" w:sz="4" w:space="0" w:color="auto"/>
            </w:tcBorders>
            <w:shd w:val="clear" w:color="000000" w:fill="FFFFFF"/>
            <w:noWrap/>
            <w:vAlign w:val="bottom"/>
            <w:hideMark/>
          </w:tcPr>
          <w:p w14:paraId="1570B7C3"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0,32</w:t>
            </w:r>
          </w:p>
        </w:tc>
        <w:tc>
          <w:tcPr>
            <w:tcW w:w="1240" w:type="dxa"/>
            <w:tcBorders>
              <w:top w:val="nil"/>
              <w:left w:val="nil"/>
              <w:bottom w:val="single" w:sz="4" w:space="0" w:color="auto"/>
              <w:right w:val="single" w:sz="4" w:space="0" w:color="auto"/>
            </w:tcBorders>
            <w:shd w:val="clear" w:color="000000" w:fill="FFFFFF"/>
            <w:noWrap/>
            <w:vAlign w:val="bottom"/>
            <w:hideMark/>
          </w:tcPr>
          <w:p w14:paraId="20466239"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70,48</w:t>
            </w:r>
          </w:p>
        </w:tc>
        <w:tc>
          <w:tcPr>
            <w:tcW w:w="1240" w:type="dxa"/>
            <w:tcBorders>
              <w:top w:val="nil"/>
              <w:left w:val="nil"/>
              <w:bottom w:val="single" w:sz="4" w:space="0" w:color="auto"/>
              <w:right w:val="single" w:sz="4" w:space="0" w:color="auto"/>
            </w:tcBorders>
            <w:shd w:val="clear" w:color="000000" w:fill="FFFFFF"/>
            <w:noWrap/>
            <w:vAlign w:val="bottom"/>
            <w:hideMark/>
          </w:tcPr>
          <w:p w14:paraId="4732E8E4"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60,47</w:t>
            </w:r>
          </w:p>
        </w:tc>
      </w:tr>
      <w:tr w:rsidR="004E10B7" w:rsidRPr="004E10B7" w14:paraId="2F68CB29" w14:textId="77777777" w:rsidTr="008A32EC">
        <w:trPr>
          <w:trHeight w:val="300"/>
          <w:jc w:val="center"/>
        </w:trPr>
        <w:tc>
          <w:tcPr>
            <w:tcW w:w="1076" w:type="dxa"/>
            <w:tcBorders>
              <w:top w:val="nil"/>
              <w:left w:val="single" w:sz="4" w:space="0" w:color="auto"/>
              <w:bottom w:val="single" w:sz="4" w:space="0" w:color="auto"/>
              <w:right w:val="single" w:sz="4" w:space="0" w:color="auto"/>
            </w:tcBorders>
            <w:shd w:val="clear" w:color="000000" w:fill="FFFFFF"/>
            <w:noWrap/>
            <w:vAlign w:val="bottom"/>
            <w:hideMark/>
          </w:tcPr>
          <w:p w14:paraId="0BC23A66" w14:textId="77777777" w:rsidR="0040637C" w:rsidRPr="004E10B7" w:rsidRDefault="0040637C"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Cba</w:t>
            </w:r>
          </w:p>
        </w:tc>
        <w:tc>
          <w:tcPr>
            <w:tcW w:w="1240" w:type="dxa"/>
            <w:tcBorders>
              <w:top w:val="nil"/>
              <w:left w:val="nil"/>
              <w:bottom w:val="single" w:sz="4" w:space="0" w:color="auto"/>
              <w:right w:val="single" w:sz="4" w:space="0" w:color="auto"/>
            </w:tcBorders>
            <w:shd w:val="clear" w:color="000000" w:fill="FFFFFF"/>
            <w:noWrap/>
            <w:vAlign w:val="bottom"/>
            <w:hideMark/>
          </w:tcPr>
          <w:p w14:paraId="354709BC"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1,06</w:t>
            </w:r>
          </w:p>
        </w:tc>
        <w:tc>
          <w:tcPr>
            <w:tcW w:w="1240" w:type="dxa"/>
            <w:tcBorders>
              <w:top w:val="nil"/>
              <w:left w:val="nil"/>
              <w:bottom w:val="single" w:sz="4" w:space="0" w:color="auto"/>
              <w:right w:val="single" w:sz="4" w:space="0" w:color="auto"/>
            </w:tcBorders>
            <w:shd w:val="clear" w:color="000000" w:fill="FFFFFF"/>
            <w:noWrap/>
            <w:vAlign w:val="bottom"/>
            <w:hideMark/>
          </w:tcPr>
          <w:p w14:paraId="014D515C"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0,83</w:t>
            </w:r>
          </w:p>
        </w:tc>
        <w:tc>
          <w:tcPr>
            <w:tcW w:w="1240" w:type="dxa"/>
            <w:tcBorders>
              <w:top w:val="nil"/>
              <w:left w:val="nil"/>
              <w:bottom w:val="single" w:sz="4" w:space="0" w:color="auto"/>
              <w:right w:val="single" w:sz="4" w:space="0" w:color="auto"/>
            </w:tcBorders>
            <w:shd w:val="clear" w:color="000000" w:fill="FFFFFF"/>
            <w:noWrap/>
            <w:vAlign w:val="bottom"/>
            <w:hideMark/>
          </w:tcPr>
          <w:p w14:paraId="0E36E4A8"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1,02</w:t>
            </w:r>
          </w:p>
        </w:tc>
        <w:tc>
          <w:tcPr>
            <w:tcW w:w="1240" w:type="dxa"/>
            <w:tcBorders>
              <w:top w:val="nil"/>
              <w:left w:val="nil"/>
              <w:bottom w:val="single" w:sz="4" w:space="0" w:color="auto"/>
              <w:right w:val="single" w:sz="4" w:space="0" w:color="auto"/>
            </w:tcBorders>
            <w:shd w:val="clear" w:color="000000" w:fill="FFFFFF"/>
            <w:noWrap/>
            <w:vAlign w:val="bottom"/>
            <w:hideMark/>
          </w:tcPr>
          <w:p w14:paraId="6AEEB747"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78,36</w:t>
            </w:r>
          </w:p>
        </w:tc>
        <w:tc>
          <w:tcPr>
            <w:tcW w:w="1240" w:type="dxa"/>
            <w:tcBorders>
              <w:top w:val="nil"/>
              <w:left w:val="nil"/>
              <w:bottom w:val="single" w:sz="4" w:space="0" w:color="auto"/>
              <w:right w:val="single" w:sz="4" w:space="0" w:color="auto"/>
            </w:tcBorders>
            <w:shd w:val="clear" w:color="000000" w:fill="FFFFFF"/>
            <w:noWrap/>
            <w:vAlign w:val="bottom"/>
            <w:hideMark/>
          </w:tcPr>
          <w:p w14:paraId="62FA179D"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96,41</w:t>
            </w:r>
          </w:p>
        </w:tc>
      </w:tr>
      <w:tr w:rsidR="004E10B7" w:rsidRPr="004E10B7" w14:paraId="2FFF832C" w14:textId="77777777" w:rsidTr="008A32EC">
        <w:trPr>
          <w:trHeight w:val="300"/>
          <w:jc w:val="center"/>
        </w:trPr>
        <w:tc>
          <w:tcPr>
            <w:tcW w:w="1076" w:type="dxa"/>
            <w:tcBorders>
              <w:top w:val="nil"/>
              <w:left w:val="single" w:sz="4" w:space="0" w:color="auto"/>
              <w:bottom w:val="single" w:sz="4" w:space="0" w:color="auto"/>
              <w:right w:val="single" w:sz="4" w:space="0" w:color="auto"/>
            </w:tcBorders>
            <w:shd w:val="clear" w:color="000000" w:fill="FFFFFF"/>
            <w:noWrap/>
            <w:vAlign w:val="bottom"/>
            <w:hideMark/>
          </w:tcPr>
          <w:p w14:paraId="6246B7AA" w14:textId="77777777" w:rsidR="0040637C" w:rsidRPr="004E10B7" w:rsidRDefault="0040637C"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Corri.</w:t>
            </w:r>
          </w:p>
        </w:tc>
        <w:tc>
          <w:tcPr>
            <w:tcW w:w="1240" w:type="dxa"/>
            <w:tcBorders>
              <w:top w:val="nil"/>
              <w:left w:val="nil"/>
              <w:bottom w:val="single" w:sz="4" w:space="0" w:color="auto"/>
              <w:right w:val="single" w:sz="4" w:space="0" w:color="auto"/>
            </w:tcBorders>
            <w:shd w:val="clear" w:color="000000" w:fill="FFFFFF"/>
            <w:noWrap/>
            <w:vAlign w:val="bottom"/>
            <w:hideMark/>
          </w:tcPr>
          <w:p w14:paraId="4E00D172"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0,69</w:t>
            </w:r>
          </w:p>
        </w:tc>
        <w:tc>
          <w:tcPr>
            <w:tcW w:w="1240" w:type="dxa"/>
            <w:tcBorders>
              <w:top w:val="nil"/>
              <w:left w:val="nil"/>
              <w:bottom w:val="single" w:sz="4" w:space="0" w:color="auto"/>
              <w:right w:val="single" w:sz="4" w:space="0" w:color="auto"/>
            </w:tcBorders>
            <w:shd w:val="clear" w:color="000000" w:fill="FFFFFF"/>
            <w:noWrap/>
            <w:vAlign w:val="bottom"/>
            <w:hideMark/>
          </w:tcPr>
          <w:p w14:paraId="106FD058"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0,57</w:t>
            </w:r>
          </w:p>
        </w:tc>
        <w:tc>
          <w:tcPr>
            <w:tcW w:w="1240" w:type="dxa"/>
            <w:tcBorders>
              <w:top w:val="nil"/>
              <w:left w:val="nil"/>
              <w:bottom w:val="single" w:sz="4" w:space="0" w:color="auto"/>
              <w:right w:val="single" w:sz="4" w:space="0" w:color="auto"/>
            </w:tcBorders>
            <w:shd w:val="clear" w:color="000000" w:fill="FFFFFF"/>
            <w:noWrap/>
            <w:vAlign w:val="bottom"/>
            <w:hideMark/>
          </w:tcPr>
          <w:p w14:paraId="2C986FD9"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0,72</w:t>
            </w:r>
          </w:p>
        </w:tc>
        <w:tc>
          <w:tcPr>
            <w:tcW w:w="1240" w:type="dxa"/>
            <w:tcBorders>
              <w:top w:val="nil"/>
              <w:left w:val="nil"/>
              <w:bottom w:val="single" w:sz="4" w:space="0" w:color="auto"/>
              <w:right w:val="single" w:sz="4" w:space="0" w:color="auto"/>
            </w:tcBorders>
            <w:shd w:val="clear" w:color="000000" w:fill="FFFFFF"/>
            <w:noWrap/>
            <w:vAlign w:val="bottom"/>
            <w:hideMark/>
          </w:tcPr>
          <w:p w14:paraId="6F07B44A"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82,66</w:t>
            </w:r>
          </w:p>
        </w:tc>
        <w:tc>
          <w:tcPr>
            <w:tcW w:w="1240" w:type="dxa"/>
            <w:tcBorders>
              <w:top w:val="nil"/>
              <w:left w:val="nil"/>
              <w:bottom w:val="single" w:sz="4" w:space="0" w:color="auto"/>
              <w:right w:val="single" w:sz="4" w:space="0" w:color="auto"/>
            </w:tcBorders>
            <w:shd w:val="clear" w:color="000000" w:fill="FFFFFF"/>
            <w:noWrap/>
            <w:vAlign w:val="bottom"/>
            <w:hideMark/>
          </w:tcPr>
          <w:p w14:paraId="159C80A2"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103,87</w:t>
            </w:r>
          </w:p>
        </w:tc>
      </w:tr>
      <w:tr w:rsidR="004E10B7" w:rsidRPr="004E10B7" w14:paraId="5E828E76" w14:textId="77777777" w:rsidTr="008A32EC">
        <w:trPr>
          <w:trHeight w:val="300"/>
          <w:jc w:val="center"/>
        </w:trPr>
        <w:tc>
          <w:tcPr>
            <w:tcW w:w="1076" w:type="dxa"/>
            <w:tcBorders>
              <w:top w:val="nil"/>
              <w:left w:val="single" w:sz="4" w:space="0" w:color="auto"/>
              <w:bottom w:val="single" w:sz="4" w:space="0" w:color="auto"/>
              <w:right w:val="single" w:sz="4" w:space="0" w:color="auto"/>
            </w:tcBorders>
            <w:shd w:val="clear" w:color="000000" w:fill="FFFFFF"/>
            <w:noWrap/>
            <w:vAlign w:val="bottom"/>
            <w:hideMark/>
          </w:tcPr>
          <w:p w14:paraId="7857EAED" w14:textId="77777777" w:rsidR="0040637C" w:rsidRPr="004E10B7" w:rsidRDefault="0040637C"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Chaco</w:t>
            </w:r>
          </w:p>
        </w:tc>
        <w:tc>
          <w:tcPr>
            <w:tcW w:w="1240" w:type="dxa"/>
            <w:tcBorders>
              <w:top w:val="nil"/>
              <w:left w:val="nil"/>
              <w:bottom w:val="single" w:sz="4" w:space="0" w:color="auto"/>
              <w:right w:val="single" w:sz="4" w:space="0" w:color="auto"/>
            </w:tcBorders>
            <w:shd w:val="clear" w:color="000000" w:fill="FFFFFF"/>
            <w:noWrap/>
            <w:vAlign w:val="bottom"/>
            <w:hideMark/>
          </w:tcPr>
          <w:p w14:paraId="5FDC6BEC"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0,73</w:t>
            </w:r>
          </w:p>
        </w:tc>
        <w:tc>
          <w:tcPr>
            <w:tcW w:w="1240" w:type="dxa"/>
            <w:tcBorders>
              <w:top w:val="nil"/>
              <w:left w:val="nil"/>
              <w:bottom w:val="single" w:sz="4" w:space="0" w:color="auto"/>
              <w:right w:val="single" w:sz="4" w:space="0" w:color="auto"/>
            </w:tcBorders>
            <w:shd w:val="clear" w:color="000000" w:fill="FFFFFF"/>
            <w:noWrap/>
            <w:vAlign w:val="bottom"/>
            <w:hideMark/>
          </w:tcPr>
          <w:p w14:paraId="2625373E"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0,99</w:t>
            </w:r>
          </w:p>
        </w:tc>
        <w:tc>
          <w:tcPr>
            <w:tcW w:w="1240" w:type="dxa"/>
            <w:tcBorders>
              <w:top w:val="nil"/>
              <w:left w:val="nil"/>
              <w:bottom w:val="single" w:sz="4" w:space="0" w:color="auto"/>
              <w:right w:val="single" w:sz="4" w:space="0" w:color="auto"/>
            </w:tcBorders>
            <w:shd w:val="clear" w:color="000000" w:fill="FFFFFF"/>
            <w:noWrap/>
            <w:vAlign w:val="bottom"/>
            <w:hideMark/>
          </w:tcPr>
          <w:p w14:paraId="7CC51EAF"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0,78</w:t>
            </w:r>
          </w:p>
        </w:tc>
        <w:tc>
          <w:tcPr>
            <w:tcW w:w="1240" w:type="dxa"/>
            <w:tcBorders>
              <w:top w:val="nil"/>
              <w:left w:val="nil"/>
              <w:bottom w:val="single" w:sz="4" w:space="0" w:color="auto"/>
              <w:right w:val="single" w:sz="4" w:space="0" w:color="auto"/>
            </w:tcBorders>
            <w:shd w:val="clear" w:color="000000" w:fill="FFFFFF"/>
            <w:noWrap/>
            <w:vAlign w:val="bottom"/>
            <w:hideMark/>
          </w:tcPr>
          <w:p w14:paraId="3137259F"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135,45</w:t>
            </w:r>
          </w:p>
        </w:tc>
        <w:tc>
          <w:tcPr>
            <w:tcW w:w="1240" w:type="dxa"/>
            <w:tcBorders>
              <w:top w:val="nil"/>
              <w:left w:val="nil"/>
              <w:bottom w:val="single" w:sz="4" w:space="0" w:color="auto"/>
              <w:right w:val="single" w:sz="4" w:space="0" w:color="auto"/>
            </w:tcBorders>
            <w:shd w:val="clear" w:color="000000" w:fill="FFFFFF"/>
            <w:noWrap/>
            <w:vAlign w:val="bottom"/>
            <w:hideMark/>
          </w:tcPr>
          <w:p w14:paraId="2BAB1CF4"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107,64</w:t>
            </w:r>
          </w:p>
        </w:tc>
      </w:tr>
      <w:tr w:rsidR="004E10B7" w:rsidRPr="004E10B7" w14:paraId="780933B9" w14:textId="77777777" w:rsidTr="008A32EC">
        <w:trPr>
          <w:trHeight w:val="300"/>
          <w:jc w:val="center"/>
        </w:trPr>
        <w:tc>
          <w:tcPr>
            <w:tcW w:w="1076" w:type="dxa"/>
            <w:tcBorders>
              <w:top w:val="nil"/>
              <w:left w:val="single" w:sz="4" w:space="0" w:color="auto"/>
              <w:bottom w:val="single" w:sz="4" w:space="0" w:color="auto"/>
              <w:right w:val="single" w:sz="4" w:space="0" w:color="auto"/>
            </w:tcBorders>
            <w:shd w:val="clear" w:color="000000" w:fill="FFFFFF"/>
            <w:noWrap/>
            <w:vAlign w:val="bottom"/>
            <w:hideMark/>
          </w:tcPr>
          <w:p w14:paraId="51A02C31" w14:textId="77777777" w:rsidR="0040637C" w:rsidRPr="004E10B7" w:rsidRDefault="0040637C"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Chubut</w:t>
            </w:r>
          </w:p>
        </w:tc>
        <w:tc>
          <w:tcPr>
            <w:tcW w:w="1240" w:type="dxa"/>
            <w:tcBorders>
              <w:top w:val="nil"/>
              <w:left w:val="nil"/>
              <w:bottom w:val="single" w:sz="4" w:space="0" w:color="auto"/>
              <w:right w:val="single" w:sz="4" w:space="0" w:color="auto"/>
            </w:tcBorders>
            <w:shd w:val="clear" w:color="000000" w:fill="FFFFFF"/>
            <w:noWrap/>
            <w:vAlign w:val="bottom"/>
            <w:hideMark/>
          </w:tcPr>
          <w:p w14:paraId="08CC4027"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0,57</w:t>
            </w:r>
          </w:p>
        </w:tc>
        <w:tc>
          <w:tcPr>
            <w:tcW w:w="1240" w:type="dxa"/>
            <w:tcBorders>
              <w:top w:val="nil"/>
              <w:left w:val="nil"/>
              <w:bottom w:val="single" w:sz="4" w:space="0" w:color="auto"/>
              <w:right w:val="single" w:sz="4" w:space="0" w:color="auto"/>
            </w:tcBorders>
            <w:shd w:val="clear" w:color="000000" w:fill="FFFFFF"/>
            <w:noWrap/>
            <w:vAlign w:val="bottom"/>
            <w:hideMark/>
          </w:tcPr>
          <w:p w14:paraId="1EC5BE4F"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0,71</w:t>
            </w:r>
          </w:p>
        </w:tc>
        <w:tc>
          <w:tcPr>
            <w:tcW w:w="1240" w:type="dxa"/>
            <w:tcBorders>
              <w:top w:val="nil"/>
              <w:left w:val="nil"/>
              <w:bottom w:val="single" w:sz="4" w:space="0" w:color="auto"/>
              <w:right w:val="single" w:sz="4" w:space="0" w:color="auto"/>
            </w:tcBorders>
            <w:shd w:val="clear" w:color="000000" w:fill="FFFFFF"/>
            <w:noWrap/>
            <w:vAlign w:val="bottom"/>
            <w:hideMark/>
          </w:tcPr>
          <w:p w14:paraId="2322A1A3"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0,88</w:t>
            </w:r>
          </w:p>
        </w:tc>
        <w:tc>
          <w:tcPr>
            <w:tcW w:w="1240" w:type="dxa"/>
            <w:tcBorders>
              <w:top w:val="nil"/>
              <w:left w:val="nil"/>
              <w:bottom w:val="single" w:sz="4" w:space="0" w:color="auto"/>
              <w:right w:val="single" w:sz="4" w:space="0" w:color="auto"/>
            </w:tcBorders>
            <w:shd w:val="clear" w:color="000000" w:fill="FFFFFF"/>
            <w:noWrap/>
            <w:vAlign w:val="bottom"/>
            <w:hideMark/>
          </w:tcPr>
          <w:p w14:paraId="029FA1E4"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124,74</w:t>
            </w:r>
          </w:p>
        </w:tc>
        <w:tc>
          <w:tcPr>
            <w:tcW w:w="1240" w:type="dxa"/>
            <w:tcBorders>
              <w:top w:val="nil"/>
              <w:left w:val="nil"/>
              <w:bottom w:val="single" w:sz="4" w:space="0" w:color="auto"/>
              <w:right w:val="single" w:sz="4" w:space="0" w:color="auto"/>
            </w:tcBorders>
            <w:shd w:val="clear" w:color="000000" w:fill="FFFFFF"/>
            <w:noWrap/>
            <w:vAlign w:val="bottom"/>
            <w:hideMark/>
          </w:tcPr>
          <w:p w14:paraId="411259BB"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155,36</w:t>
            </w:r>
          </w:p>
        </w:tc>
      </w:tr>
      <w:tr w:rsidR="004E10B7" w:rsidRPr="004E10B7" w14:paraId="6A67D90C" w14:textId="77777777" w:rsidTr="008A32EC">
        <w:trPr>
          <w:trHeight w:val="300"/>
          <w:jc w:val="center"/>
        </w:trPr>
        <w:tc>
          <w:tcPr>
            <w:tcW w:w="1076" w:type="dxa"/>
            <w:tcBorders>
              <w:top w:val="nil"/>
              <w:left w:val="single" w:sz="4" w:space="0" w:color="auto"/>
              <w:bottom w:val="single" w:sz="4" w:space="0" w:color="auto"/>
              <w:right w:val="single" w:sz="4" w:space="0" w:color="auto"/>
            </w:tcBorders>
            <w:shd w:val="clear" w:color="000000" w:fill="FFFFFF"/>
            <w:noWrap/>
            <w:vAlign w:val="bottom"/>
            <w:hideMark/>
          </w:tcPr>
          <w:p w14:paraId="14123A6B" w14:textId="77777777" w:rsidR="0040637C" w:rsidRPr="004E10B7" w:rsidRDefault="0040637C"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Entre R.</w:t>
            </w:r>
          </w:p>
        </w:tc>
        <w:tc>
          <w:tcPr>
            <w:tcW w:w="1240" w:type="dxa"/>
            <w:tcBorders>
              <w:top w:val="nil"/>
              <w:left w:val="nil"/>
              <w:bottom w:val="single" w:sz="4" w:space="0" w:color="auto"/>
              <w:right w:val="single" w:sz="4" w:space="0" w:color="auto"/>
            </w:tcBorders>
            <w:shd w:val="clear" w:color="000000" w:fill="FFFFFF"/>
            <w:noWrap/>
            <w:vAlign w:val="bottom"/>
            <w:hideMark/>
          </w:tcPr>
          <w:p w14:paraId="1A57D83D"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0,73</w:t>
            </w:r>
          </w:p>
        </w:tc>
        <w:tc>
          <w:tcPr>
            <w:tcW w:w="1240" w:type="dxa"/>
            <w:tcBorders>
              <w:top w:val="nil"/>
              <w:left w:val="nil"/>
              <w:bottom w:val="single" w:sz="4" w:space="0" w:color="auto"/>
              <w:right w:val="single" w:sz="4" w:space="0" w:color="auto"/>
            </w:tcBorders>
            <w:shd w:val="clear" w:color="000000" w:fill="FFFFFF"/>
            <w:noWrap/>
            <w:vAlign w:val="bottom"/>
            <w:hideMark/>
          </w:tcPr>
          <w:p w14:paraId="370F6CEF"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0,87</w:t>
            </w:r>
          </w:p>
        </w:tc>
        <w:tc>
          <w:tcPr>
            <w:tcW w:w="1240" w:type="dxa"/>
            <w:tcBorders>
              <w:top w:val="nil"/>
              <w:left w:val="nil"/>
              <w:bottom w:val="single" w:sz="4" w:space="0" w:color="auto"/>
              <w:right w:val="single" w:sz="4" w:space="0" w:color="auto"/>
            </w:tcBorders>
            <w:shd w:val="clear" w:color="000000" w:fill="FFFFFF"/>
            <w:noWrap/>
            <w:vAlign w:val="bottom"/>
            <w:hideMark/>
          </w:tcPr>
          <w:p w14:paraId="65D2DF51"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0,88</w:t>
            </w:r>
          </w:p>
        </w:tc>
        <w:tc>
          <w:tcPr>
            <w:tcW w:w="1240" w:type="dxa"/>
            <w:tcBorders>
              <w:top w:val="nil"/>
              <w:left w:val="nil"/>
              <w:bottom w:val="single" w:sz="4" w:space="0" w:color="auto"/>
              <w:right w:val="single" w:sz="4" w:space="0" w:color="auto"/>
            </w:tcBorders>
            <w:shd w:val="clear" w:color="000000" w:fill="FFFFFF"/>
            <w:noWrap/>
            <w:vAlign w:val="bottom"/>
            <w:hideMark/>
          </w:tcPr>
          <w:p w14:paraId="65CE261A"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118,68</w:t>
            </w:r>
          </w:p>
        </w:tc>
        <w:tc>
          <w:tcPr>
            <w:tcW w:w="1240" w:type="dxa"/>
            <w:tcBorders>
              <w:top w:val="nil"/>
              <w:left w:val="nil"/>
              <w:bottom w:val="single" w:sz="4" w:space="0" w:color="auto"/>
              <w:right w:val="single" w:sz="4" w:space="0" w:color="auto"/>
            </w:tcBorders>
            <w:shd w:val="clear" w:color="000000" w:fill="FFFFFF"/>
            <w:noWrap/>
            <w:vAlign w:val="bottom"/>
            <w:hideMark/>
          </w:tcPr>
          <w:p w14:paraId="3098A111"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119,54</w:t>
            </w:r>
          </w:p>
        </w:tc>
      </w:tr>
      <w:tr w:rsidR="004E10B7" w:rsidRPr="004E10B7" w14:paraId="4A5F31F6" w14:textId="77777777" w:rsidTr="008A32EC">
        <w:trPr>
          <w:trHeight w:val="300"/>
          <w:jc w:val="center"/>
        </w:trPr>
        <w:tc>
          <w:tcPr>
            <w:tcW w:w="1076" w:type="dxa"/>
            <w:tcBorders>
              <w:top w:val="nil"/>
              <w:left w:val="single" w:sz="4" w:space="0" w:color="auto"/>
              <w:bottom w:val="single" w:sz="4" w:space="0" w:color="auto"/>
              <w:right w:val="single" w:sz="4" w:space="0" w:color="auto"/>
            </w:tcBorders>
            <w:shd w:val="clear" w:color="000000" w:fill="FFFFFF"/>
            <w:noWrap/>
            <w:vAlign w:val="bottom"/>
            <w:hideMark/>
          </w:tcPr>
          <w:p w14:paraId="2CFE9354" w14:textId="77777777" w:rsidR="0040637C" w:rsidRPr="004E10B7" w:rsidRDefault="0040637C"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Form.</w:t>
            </w:r>
          </w:p>
        </w:tc>
        <w:tc>
          <w:tcPr>
            <w:tcW w:w="1240" w:type="dxa"/>
            <w:tcBorders>
              <w:top w:val="nil"/>
              <w:left w:val="nil"/>
              <w:bottom w:val="single" w:sz="4" w:space="0" w:color="auto"/>
              <w:right w:val="single" w:sz="4" w:space="0" w:color="auto"/>
            </w:tcBorders>
            <w:shd w:val="clear" w:color="000000" w:fill="FFFFFF"/>
            <w:noWrap/>
            <w:vAlign w:val="bottom"/>
            <w:hideMark/>
          </w:tcPr>
          <w:p w14:paraId="3D66BB8F"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0,65</w:t>
            </w:r>
          </w:p>
        </w:tc>
        <w:tc>
          <w:tcPr>
            <w:tcW w:w="1240" w:type="dxa"/>
            <w:tcBorders>
              <w:top w:val="nil"/>
              <w:left w:val="nil"/>
              <w:bottom w:val="single" w:sz="4" w:space="0" w:color="auto"/>
              <w:right w:val="single" w:sz="4" w:space="0" w:color="auto"/>
            </w:tcBorders>
            <w:shd w:val="clear" w:color="000000" w:fill="FFFFFF"/>
            <w:noWrap/>
            <w:vAlign w:val="bottom"/>
            <w:hideMark/>
          </w:tcPr>
          <w:p w14:paraId="29361FB6"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0,60</w:t>
            </w:r>
          </w:p>
        </w:tc>
        <w:tc>
          <w:tcPr>
            <w:tcW w:w="1240" w:type="dxa"/>
            <w:tcBorders>
              <w:top w:val="nil"/>
              <w:left w:val="nil"/>
              <w:bottom w:val="single" w:sz="4" w:space="0" w:color="auto"/>
              <w:right w:val="single" w:sz="4" w:space="0" w:color="auto"/>
            </w:tcBorders>
            <w:shd w:val="clear" w:color="000000" w:fill="FFFFFF"/>
            <w:noWrap/>
            <w:vAlign w:val="bottom"/>
            <w:hideMark/>
          </w:tcPr>
          <w:p w14:paraId="1C6B5CE4"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0,62</w:t>
            </w:r>
          </w:p>
        </w:tc>
        <w:tc>
          <w:tcPr>
            <w:tcW w:w="1240" w:type="dxa"/>
            <w:tcBorders>
              <w:top w:val="nil"/>
              <w:left w:val="nil"/>
              <w:bottom w:val="single" w:sz="4" w:space="0" w:color="auto"/>
              <w:right w:val="single" w:sz="4" w:space="0" w:color="auto"/>
            </w:tcBorders>
            <w:shd w:val="clear" w:color="000000" w:fill="FFFFFF"/>
            <w:noWrap/>
            <w:vAlign w:val="bottom"/>
            <w:hideMark/>
          </w:tcPr>
          <w:p w14:paraId="5DD74D26"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92,73</w:t>
            </w:r>
          </w:p>
        </w:tc>
        <w:tc>
          <w:tcPr>
            <w:tcW w:w="1240" w:type="dxa"/>
            <w:tcBorders>
              <w:top w:val="nil"/>
              <w:left w:val="nil"/>
              <w:bottom w:val="single" w:sz="4" w:space="0" w:color="auto"/>
              <w:right w:val="single" w:sz="4" w:space="0" w:color="auto"/>
            </w:tcBorders>
            <w:shd w:val="clear" w:color="000000" w:fill="FFFFFF"/>
            <w:noWrap/>
            <w:vAlign w:val="bottom"/>
            <w:hideMark/>
          </w:tcPr>
          <w:p w14:paraId="27B79F18"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96,59</w:t>
            </w:r>
          </w:p>
        </w:tc>
      </w:tr>
      <w:tr w:rsidR="004E10B7" w:rsidRPr="004E10B7" w14:paraId="70D646D3" w14:textId="77777777" w:rsidTr="008A32EC">
        <w:trPr>
          <w:trHeight w:val="300"/>
          <w:jc w:val="center"/>
        </w:trPr>
        <w:tc>
          <w:tcPr>
            <w:tcW w:w="1076" w:type="dxa"/>
            <w:tcBorders>
              <w:top w:val="nil"/>
              <w:left w:val="single" w:sz="4" w:space="0" w:color="auto"/>
              <w:bottom w:val="single" w:sz="4" w:space="0" w:color="auto"/>
              <w:right w:val="single" w:sz="4" w:space="0" w:color="auto"/>
            </w:tcBorders>
            <w:shd w:val="clear" w:color="000000" w:fill="FFFFFF"/>
            <w:noWrap/>
            <w:vAlign w:val="bottom"/>
            <w:hideMark/>
          </w:tcPr>
          <w:p w14:paraId="410C86D4" w14:textId="77777777" w:rsidR="0040637C" w:rsidRPr="004E10B7" w:rsidRDefault="0040637C"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Jujuy</w:t>
            </w:r>
          </w:p>
        </w:tc>
        <w:tc>
          <w:tcPr>
            <w:tcW w:w="1240" w:type="dxa"/>
            <w:tcBorders>
              <w:top w:val="nil"/>
              <w:left w:val="nil"/>
              <w:bottom w:val="single" w:sz="4" w:space="0" w:color="auto"/>
              <w:right w:val="single" w:sz="4" w:space="0" w:color="auto"/>
            </w:tcBorders>
            <w:shd w:val="clear" w:color="000000" w:fill="FFFFFF"/>
            <w:noWrap/>
            <w:vAlign w:val="bottom"/>
            <w:hideMark/>
          </w:tcPr>
          <w:p w14:paraId="189D5267"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0,76</w:t>
            </w:r>
          </w:p>
        </w:tc>
        <w:tc>
          <w:tcPr>
            <w:tcW w:w="1240" w:type="dxa"/>
            <w:tcBorders>
              <w:top w:val="nil"/>
              <w:left w:val="nil"/>
              <w:bottom w:val="single" w:sz="4" w:space="0" w:color="auto"/>
              <w:right w:val="single" w:sz="4" w:space="0" w:color="auto"/>
            </w:tcBorders>
            <w:shd w:val="clear" w:color="000000" w:fill="FFFFFF"/>
            <w:noWrap/>
            <w:vAlign w:val="bottom"/>
            <w:hideMark/>
          </w:tcPr>
          <w:p w14:paraId="666EF5A9"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0,71</w:t>
            </w:r>
          </w:p>
        </w:tc>
        <w:tc>
          <w:tcPr>
            <w:tcW w:w="1240" w:type="dxa"/>
            <w:tcBorders>
              <w:top w:val="nil"/>
              <w:left w:val="nil"/>
              <w:bottom w:val="single" w:sz="4" w:space="0" w:color="auto"/>
              <w:right w:val="single" w:sz="4" w:space="0" w:color="auto"/>
            </w:tcBorders>
            <w:shd w:val="clear" w:color="000000" w:fill="FFFFFF"/>
            <w:noWrap/>
            <w:vAlign w:val="bottom"/>
            <w:hideMark/>
          </w:tcPr>
          <w:p w14:paraId="49D32FBB"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0,68</w:t>
            </w:r>
          </w:p>
        </w:tc>
        <w:tc>
          <w:tcPr>
            <w:tcW w:w="1240" w:type="dxa"/>
            <w:tcBorders>
              <w:top w:val="nil"/>
              <w:left w:val="nil"/>
              <w:bottom w:val="single" w:sz="4" w:space="0" w:color="auto"/>
              <w:right w:val="single" w:sz="4" w:space="0" w:color="auto"/>
            </w:tcBorders>
            <w:shd w:val="clear" w:color="000000" w:fill="FFFFFF"/>
            <w:noWrap/>
            <w:vAlign w:val="bottom"/>
            <w:hideMark/>
          </w:tcPr>
          <w:p w14:paraId="45DB02E2"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93,45</w:t>
            </w:r>
          </w:p>
        </w:tc>
        <w:tc>
          <w:tcPr>
            <w:tcW w:w="1240" w:type="dxa"/>
            <w:tcBorders>
              <w:top w:val="nil"/>
              <w:left w:val="nil"/>
              <w:bottom w:val="single" w:sz="4" w:space="0" w:color="auto"/>
              <w:right w:val="single" w:sz="4" w:space="0" w:color="auto"/>
            </w:tcBorders>
            <w:shd w:val="clear" w:color="000000" w:fill="FFFFFF"/>
            <w:noWrap/>
            <w:vAlign w:val="bottom"/>
            <w:hideMark/>
          </w:tcPr>
          <w:p w14:paraId="7E0A6BCB"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89,85</w:t>
            </w:r>
          </w:p>
        </w:tc>
      </w:tr>
      <w:tr w:rsidR="004E10B7" w:rsidRPr="004E10B7" w14:paraId="492D6C7A" w14:textId="77777777" w:rsidTr="008A32EC">
        <w:trPr>
          <w:trHeight w:val="300"/>
          <w:jc w:val="center"/>
        </w:trPr>
        <w:tc>
          <w:tcPr>
            <w:tcW w:w="1076" w:type="dxa"/>
            <w:tcBorders>
              <w:top w:val="nil"/>
              <w:left w:val="single" w:sz="4" w:space="0" w:color="auto"/>
              <w:bottom w:val="single" w:sz="4" w:space="0" w:color="auto"/>
              <w:right w:val="single" w:sz="4" w:space="0" w:color="auto"/>
            </w:tcBorders>
            <w:shd w:val="clear" w:color="000000" w:fill="FFFFFF"/>
            <w:noWrap/>
            <w:vAlign w:val="bottom"/>
            <w:hideMark/>
          </w:tcPr>
          <w:p w14:paraId="6768050F" w14:textId="77777777" w:rsidR="0040637C" w:rsidRPr="004E10B7" w:rsidRDefault="0040637C"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La Pampa</w:t>
            </w:r>
          </w:p>
        </w:tc>
        <w:tc>
          <w:tcPr>
            <w:tcW w:w="1240" w:type="dxa"/>
            <w:tcBorders>
              <w:top w:val="nil"/>
              <w:left w:val="nil"/>
              <w:bottom w:val="single" w:sz="4" w:space="0" w:color="auto"/>
              <w:right w:val="single" w:sz="4" w:space="0" w:color="auto"/>
            </w:tcBorders>
            <w:shd w:val="clear" w:color="000000" w:fill="FFFFFF"/>
            <w:noWrap/>
            <w:vAlign w:val="bottom"/>
            <w:hideMark/>
          </w:tcPr>
          <w:p w14:paraId="1C970CC2"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0,91</w:t>
            </w:r>
          </w:p>
        </w:tc>
        <w:tc>
          <w:tcPr>
            <w:tcW w:w="1240" w:type="dxa"/>
            <w:tcBorders>
              <w:top w:val="nil"/>
              <w:left w:val="nil"/>
              <w:bottom w:val="single" w:sz="4" w:space="0" w:color="auto"/>
              <w:right w:val="single" w:sz="4" w:space="0" w:color="auto"/>
            </w:tcBorders>
            <w:shd w:val="clear" w:color="000000" w:fill="FFFFFF"/>
            <w:noWrap/>
            <w:vAlign w:val="bottom"/>
            <w:hideMark/>
          </w:tcPr>
          <w:p w14:paraId="69D12F10"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0,88</w:t>
            </w:r>
          </w:p>
        </w:tc>
        <w:tc>
          <w:tcPr>
            <w:tcW w:w="1240" w:type="dxa"/>
            <w:tcBorders>
              <w:top w:val="nil"/>
              <w:left w:val="nil"/>
              <w:bottom w:val="single" w:sz="4" w:space="0" w:color="auto"/>
              <w:right w:val="single" w:sz="4" w:space="0" w:color="auto"/>
            </w:tcBorders>
            <w:shd w:val="clear" w:color="000000" w:fill="FFFFFF"/>
            <w:noWrap/>
            <w:vAlign w:val="bottom"/>
            <w:hideMark/>
          </w:tcPr>
          <w:p w14:paraId="190768AF"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0,69</w:t>
            </w:r>
          </w:p>
        </w:tc>
        <w:tc>
          <w:tcPr>
            <w:tcW w:w="1240" w:type="dxa"/>
            <w:tcBorders>
              <w:top w:val="nil"/>
              <w:left w:val="nil"/>
              <w:bottom w:val="single" w:sz="4" w:space="0" w:color="auto"/>
              <w:right w:val="single" w:sz="4" w:space="0" w:color="auto"/>
            </w:tcBorders>
            <w:shd w:val="clear" w:color="000000" w:fill="FFFFFF"/>
            <w:noWrap/>
            <w:vAlign w:val="bottom"/>
            <w:hideMark/>
          </w:tcPr>
          <w:p w14:paraId="4C47BC51"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95,89</w:t>
            </w:r>
          </w:p>
        </w:tc>
        <w:tc>
          <w:tcPr>
            <w:tcW w:w="1240" w:type="dxa"/>
            <w:tcBorders>
              <w:top w:val="nil"/>
              <w:left w:val="nil"/>
              <w:bottom w:val="single" w:sz="4" w:space="0" w:color="auto"/>
              <w:right w:val="single" w:sz="4" w:space="0" w:color="auto"/>
            </w:tcBorders>
            <w:shd w:val="clear" w:color="000000" w:fill="FFFFFF"/>
            <w:noWrap/>
            <w:vAlign w:val="bottom"/>
            <w:hideMark/>
          </w:tcPr>
          <w:p w14:paraId="771058D9"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76,12</w:t>
            </w:r>
          </w:p>
        </w:tc>
      </w:tr>
      <w:tr w:rsidR="004E10B7" w:rsidRPr="004E10B7" w14:paraId="10A6FD0F" w14:textId="77777777" w:rsidTr="008A32EC">
        <w:trPr>
          <w:trHeight w:val="300"/>
          <w:jc w:val="center"/>
        </w:trPr>
        <w:tc>
          <w:tcPr>
            <w:tcW w:w="1076" w:type="dxa"/>
            <w:tcBorders>
              <w:top w:val="nil"/>
              <w:left w:val="single" w:sz="4" w:space="0" w:color="auto"/>
              <w:bottom w:val="single" w:sz="4" w:space="0" w:color="auto"/>
              <w:right w:val="single" w:sz="4" w:space="0" w:color="auto"/>
            </w:tcBorders>
            <w:shd w:val="clear" w:color="000000" w:fill="FFFFFF"/>
            <w:noWrap/>
            <w:vAlign w:val="bottom"/>
            <w:hideMark/>
          </w:tcPr>
          <w:p w14:paraId="6EA750AB" w14:textId="77777777" w:rsidR="0040637C" w:rsidRPr="004E10B7" w:rsidRDefault="0040637C"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La Rioja</w:t>
            </w:r>
          </w:p>
        </w:tc>
        <w:tc>
          <w:tcPr>
            <w:tcW w:w="1240" w:type="dxa"/>
            <w:tcBorders>
              <w:top w:val="nil"/>
              <w:left w:val="nil"/>
              <w:bottom w:val="single" w:sz="4" w:space="0" w:color="auto"/>
              <w:right w:val="single" w:sz="4" w:space="0" w:color="auto"/>
            </w:tcBorders>
            <w:shd w:val="clear" w:color="000000" w:fill="FFFFFF"/>
            <w:noWrap/>
            <w:vAlign w:val="bottom"/>
            <w:hideMark/>
          </w:tcPr>
          <w:p w14:paraId="23CEB3D9"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0,58</w:t>
            </w:r>
          </w:p>
        </w:tc>
        <w:tc>
          <w:tcPr>
            <w:tcW w:w="1240" w:type="dxa"/>
            <w:tcBorders>
              <w:top w:val="nil"/>
              <w:left w:val="nil"/>
              <w:bottom w:val="single" w:sz="4" w:space="0" w:color="auto"/>
              <w:right w:val="single" w:sz="4" w:space="0" w:color="auto"/>
            </w:tcBorders>
            <w:shd w:val="clear" w:color="000000" w:fill="FFFFFF"/>
            <w:noWrap/>
            <w:vAlign w:val="bottom"/>
            <w:hideMark/>
          </w:tcPr>
          <w:p w14:paraId="4BD64BE5"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0,65</w:t>
            </w:r>
          </w:p>
        </w:tc>
        <w:tc>
          <w:tcPr>
            <w:tcW w:w="1240" w:type="dxa"/>
            <w:tcBorders>
              <w:top w:val="nil"/>
              <w:left w:val="nil"/>
              <w:bottom w:val="single" w:sz="4" w:space="0" w:color="auto"/>
              <w:right w:val="single" w:sz="4" w:space="0" w:color="auto"/>
            </w:tcBorders>
            <w:shd w:val="clear" w:color="000000" w:fill="FFFFFF"/>
            <w:noWrap/>
            <w:vAlign w:val="bottom"/>
            <w:hideMark/>
          </w:tcPr>
          <w:p w14:paraId="772A75A4"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0,56</w:t>
            </w:r>
          </w:p>
        </w:tc>
        <w:tc>
          <w:tcPr>
            <w:tcW w:w="1240" w:type="dxa"/>
            <w:tcBorders>
              <w:top w:val="nil"/>
              <w:left w:val="nil"/>
              <w:bottom w:val="single" w:sz="4" w:space="0" w:color="auto"/>
              <w:right w:val="single" w:sz="4" w:space="0" w:color="auto"/>
            </w:tcBorders>
            <w:shd w:val="clear" w:color="000000" w:fill="FFFFFF"/>
            <w:noWrap/>
            <w:vAlign w:val="bottom"/>
            <w:hideMark/>
          </w:tcPr>
          <w:p w14:paraId="32F01289"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112,11</w:t>
            </w:r>
          </w:p>
        </w:tc>
        <w:tc>
          <w:tcPr>
            <w:tcW w:w="1240" w:type="dxa"/>
            <w:tcBorders>
              <w:top w:val="nil"/>
              <w:left w:val="nil"/>
              <w:bottom w:val="single" w:sz="4" w:space="0" w:color="auto"/>
              <w:right w:val="single" w:sz="4" w:space="0" w:color="auto"/>
            </w:tcBorders>
            <w:shd w:val="clear" w:color="000000" w:fill="FFFFFF"/>
            <w:noWrap/>
            <w:vAlign w:val="bottom"/>
            <w:hideMark/>
          </w:tcPr>
          <w:p w14:paraId="3F03D248"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96,75</w:t>
            </w:r>
          </w:p>
        </w:tc>
      </w:tr>
      <w:tr w:rsidR="004E10B7" w:rsidRPr="004E10B7" w14:paraId="0E23D89C" w14:textId="77777777" w:rsidTr="008A32EC">
        <w:trPr>
          <w:trHeight w:val="300"/>
          <w:jc w:val="center"/>
        </w:trPr>
        <w:tc>
          <w:tcPr>
            <w:tcW w:w="1076" w:type="dxa"/>
            <w:tcBorders>
              <w:top w:val="nil"/>
              <w:left w:val="single" w:sz="4" w:space="0" w:color="auto"/>
              <w:bottom w:val="single" w:sz="4" w:space="0" w:color="auto"/>
              <w:right w:val="single" w:sz="4" w:space="0" w:color="auto"/>
            </w:tcBorders>
            <w:shd w:val="clear" w:color="000000" w:fill="FFFFFF"/>
            <w:noWrap/>
            <w:vAlign w:val="bottom"/>
            <w:hideMark/>
          </w:tcPr>
          <w:p w14:paraId="7146E750" w14:textId="77777777" w:rsidR="0040637C" w:rsidRPr="004E10B7" w:rsidRDefault="0040637C"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Mza</w:t>
            </w:r>
          </w:p>
        </w:tc>
        <w:tc>
          <w:tcPr>
            <w:tcW w:w="1240" w:type="dxa"/>
            <w:tcBorders>
              <w:top w:val="nil"/>
              <w:left w:val="nil"/>
              <w:bottom w:val="single" w:sz="4" w:space="0" w:color="auto"/>
              <w:right w:val="single" w:sz="4" w:space="0" w:color="auto"/>
            </w:tcBorders>
            <w:shd w:val="clear" w:color="000000" w:fill="FFFFFF"/>
            <w:noWrap/>
            <w:vAlign w:val="bottom"/>
            <w:hideMark/>
          </w:tcPr>
          <w:p w14:paraId="4824D11D"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1,09</w:t>
            </w:r>
          </w:p>
        </w:tc>
        <w:tc>
          <w:tcPr>
            <w:tcW w:w="1240" w:type="dxa"/>
            <w:tcBorders>
              <w:top w:val="nil"/>
              <w:left w:val="nil"/>
              <w:bottom w:val="single" w:sz="4" w:space="0" w:color="auto"/>
              <w:right w:val="single" w:sz="4" w:space="0" w:color="auto"/>
            </w:tcBorders>
            <w:shd w:val="clear" w:color="000000" w:fill="FFFFFF"/>
            <w:noWrap/>
            <w:vAlign w:val="bottom"/>
            <w:hideMark/>
          </w:tcPr>
          <w:p w14:paraId="4777127D"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0,73</w:t>
            </w:r>
          </w:p>
        </w:tc>
        <w:tc>
          <w:tcPr>
            <w:tcW w:w="1240" w:type="dxa"/>
            <w:tcBorders>
              <w:top w:val="nil"/>
              <w:left w:val="nil"/>
              <w:bottom w:val="single" w:sz="4" w:space="0" w:color="auto"/>
              <w:right w:val="single" w:sz="4" w:space="0" w:color="auto"/>
            </w:tcBorders>
            <w:shd w:val="clear" w:color="000000" w:fill="FFFFFF"/>
            <w:noWrap/>
            <w:vAlign w:val="bottom"/>
            <w:hideMark/>
          </w:tcPr>
          <w:p w14:paraId="3E0D0DCB"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0,99</w:t>
            </w:r>
          </w:p>
        </w:tc>
        <w:tc>
          <w:tcPr>
            <w:tcW w:w="1240" w:type="dxa"/>
            <w:tcBorders>
              <w:top w:val="nil"/>
              <w:left w:val="nil"/>
              <w:bottom w:val="single" w:sz="4" w:space="0" w:color="auto"/>
              <w:right w:val="single" w:sz="4" w:space="0" w:color="auto"/>
            </w:tcBorders>
            <w:shd w:val="clear" w:color="000000" w:fill="FFFFFF"/>
            <w:noWrap/>
            <w:vAlign w:val="bottom"/>
            <w:hideMark/>
          </w:tcPr>
          <w:p w14:paraId="15D6EA0F"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66,71</w:t>
            </w:r>
          </w:p>
        </w:tc>
        <w:tc>
          <w:tcPr>
            <w:tcW w:w="1240" w:type="dxa"/>
            <w:tcBorders>
              <w:top w:val="nil"/>
              <w:left w:val="nil"/>
              <w:bottom w:val="single" w:sz="4" w:space="0" w:color="auto"/>
              <w:right w:val="single" w:sz="4" w:space="0" w:color="auto"/>
            </w:tcBorders>
            <w:shd w:val="clear" w:color="000000" w:fill="FFFFFF"/>
            <w:noWrap/>
            <w:vAlign w:val="bottom"/>
            <w:hideMark/>
          </w:tcPr>
          <w:p w14:paraId="70DDF599"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91,00</w:t>
            </w:r>
          </w:p>
        </w:tc>
      </w:tr>
      <w:tr w:rsidR="004E10B7" w:rsidRPr="004E10B7" w14:paraId="600799F5" w14:textId="77777777" w:rsidTr="008A32EC">
        <w:trPr>
          <w:trHeight w:val="300"/>
          <w:jc w:val="center"/>
        </w:trPr>
        <w:tc>
          <w:tcPr>
            <w:tcW w:w="1076" w:type="dxa"/>
            <w:tcBorders>
              <w:top w:val="nil"/>
              <w:left w:val="single" w:sz="4" w:space="0" w:color="auto"/>
              <w:bottom w:val="single" w:sz="4" w:space="0" w:color="auto"/>
              <w:right w:val="single" w:sz="4" w:space="0" w:color="auto"/>
            </w:tcBorders>
            <w:shd w:val="clear" w:color="000000" w:fill="FFFFFF"/>
            <w:noWrap/>
            <w:vAlign w:val="bottom"/>
            <w:hideMark/>
          </w:tcPr>
          <w:p w14:paraId="10398D0D" w14:textId="77777777" w:rsidR="0040637C" w:rsidRPr="004E10B7" w:rsidRDefault="0040637C"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Misio.</w:t>
            </w:r>
          </w:p>
        </w:tc>
        <w:tc>
          <w:tcPr>
            <w:tcW w:w="1240" w:type="dxa"/>
            <w:tcBorders>
              <w:top w:val="nil"/>
              <w:left w:val="nil"/>
              <w:bottom w:val="single" w:sz="4" w:space="0" w:color="auto"/>
              <w:right w:val="single" w:sz="4" w:space="0" w:color="auto"/>
            </w:tcBorders>
            <w:shd w:val="clear" w:color="000000" w:fill="FFFFFF"/>
            <w:noWrap/>
            <w:vAlign w:val="bottom"/>
            <w:hideMark/>
          </w:tcPr>
          <w:p w14:paraId="0AE4DDEE"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0,80</w:t>
            </w:r>
          </w:p>
        </w:tc>
        <w:tc>
          <w:tcPr>
            <w:tcW w:w="1240" w:type="dxa"/>
            <w:tcBorders>
              <w:top w:val="nil"/>
              <w:left w:val="nil"/>
              <w:bottom w:val="single" w:sz="4" w:space="0" w:color="auto"/>
              <w:right w:val="single" w:sz="4" w:space="0" w:color="auto"/>
            </w:tcBorders>
            <w:shd w:val="clear" w:color="000000" w:fill="FFFFFF"/>
            <w:noWrap/>
            <w:vAlign w:val="bottom"/>
            <w:hideMark/>
          </w:tcPr>
          <w:p w14:paraId="09229B67"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1,14</w:t>
            </w:r>
          </w:p>
        </w:tc>
        <w:tc>
          <w:tcPr>
            <w:tcW w:w="1240" w:type="dxa"/>
            <w:tcBorders>
              <w:top w:val="nil"/>
              <w:left w:val="nil"/>
              <w:bottom w:val="single" w:sz="4" w:space="0" w:color="auto"/>
              <w:right w:val="single" w:sz="4" w:space="0" w:color="auto"/>
            </w:tcBorders>
            <w:shd w:val="clear" w:color="000000" w:fill="FFFFFF"/>
            <w:noWrap/>
            <w:vAlign w:val="bottom"/>
            <w:hideMark/>
          </w:tcPr>
          <w:p w14:paraId="0FB06AC7"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1,68</w:t>
            </w:r>
          </w:p>
        </w:tc>
        <w:tc>
          <w:tcPr>
            <w:tcW w:w="1240" w:type="dxa"/>
            <w:tcBorders>
              <w:top w:val="nil"/>
              <w:left w:val="nil"/>
              <w:bottom w:val="single" w:sz="4" w:space="0" w:color="auto"/>
              <w:right w:val="single" w:sz="4" w:space="0" w:color="auto"/>
            </w:tcBorders>
            <w:shd w:val="clear" w:color="000000" w:fill="FFFFFF"/>
            <w:noWrap/>
            <w:vAlign w:val="bottom"/>
            <w:hideMark/>
          </w:tcPr>
          <w:p w14:paraId="7DFD1C25"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142,84</w:t>
            </w:r>
          </w:p>
        </w:tc>
        <w:tc>
          <w:tcPr>
            <w:tcW w:w="1240" w:type="dxa"/>
            <w:tcBorders>
              <w:top w:val="nil"/>
              <w:left w:val="nil"/>
              <w:bottom w:val="single" w:sz="4" w:space="0" w:color="auto"/>
              <w:right w:val="single" w:sz="4" w:space="0" w:color="auto"/>
            </w:tcBorders>
            <w:shd w:val="clear" w:color="000000" w:fill="FFFFFF"/>
            <w:noWrap/>
            <w:vAlign w:val="bottom"/>
            <w:hideMark/>
          </w:tcPr>
          <w:p w14:paraId="722DBF0F"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210,56</w:t>
            </w:r>
          </w:p>
        </w:tc>
      </w:tr>
      <w:tr w:rsidR="004E10B7" w:rsidRPr="004E10B7" w14:paraId="21F9FF23" w14:textId="77777777" w:rsidTr="008A32EC">
        <w:trPr>
          <w:trHeight w:val="300"/>
          <w:jc w:val="center"/>
        </w:trPr>
        <w:tc>
          <w:tcPr>
            <w:tcW w:w="1076" w:type="dxa"/>
            <w:tcBorders>
              <w:top w:val="nil"/>
              <w:left w:val="single" w:sz="4" w:space="0" w:color="auto"/>
              <w:bottom w:val="single" w:sz="4" w:space="0" w:color="auto"/>
              <w:right w:val="single" w:sz="4" w:space="0" w:color="auto"/>
            </w:tcBorders>
            <w:shd w:val="clear" w:color="000000" w:fill="FFFFFF"/>
            <w:noWrap/>
            <w:vAlign w:val="bottom"/>
            <w:hideMark/>
          </w:tcPr>
          <w:p w14:paraId="1EAA416B" w14:textId="77777777" w:rsidR="0040637C" w:rsidRPr="004E10B7" w:rsidRDefault="0040637C"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Neuq.</w:t>
            </w:r>
          </w:p>
        </w:tc>
        <w:tc>
          <w:tcPr>
            <w:tcW w:w="1240" w:type="dxa"/>
            <w:tcBorders>
              <w:top w:val="nil"/>
              <w:left w:val="nil"/>
              <w:bottom w:val="single" w:sz="4" w:space="0" w:color="auto"/>
              <w:right w:val="single" w:sz="4" w:space="0" w:color="auto"/>
            </w:tcBorders>
            <w:shd w:val="clear" w:color="000000" w:fill="FFFFFF"/>
            <w:noWrap/>
            <w:vAlign w:val="bottom"/>
            <w:hideMark/>
          </w:tcPr>
          <w:p w14:paraId="049C718D"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0,73</w:t>
            </w:r>
          </w:p>
        </w:tc>
        <w:tc>
          <w:tcPr>
            <w:tcW w:w="1240" w:type="dxa"/>
            <w:tcBorders>
              <w:top w:val="nil"/>
              <w:left w:val="nil"/>
              <w:bottom w:val="single" w:sz="4" w:space="0" w:color="auto"/>
              <w:right w:val="single" w:sz="4" w:space="0" w:color="auto"/>
            </w:tcBorders>
            <w:shd w:val="clear" w:color="000000" w:fill="FFFFFF"/>
            <w:noWrap/>
            <w:vAlign w:val="bottom"/>
            <w:hideMark/>
          </w:tcPr>
          <w:p w14:paraId="00BCF33C"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0,96</w:t>
            </w:r>
          </w:p>
        </w:tc>
        <w:tc>
          <w:tcPr>
            <w:tcW w:w="1240" w:type="dxa"/>
            <w:tcBorders>
              <w:top w:val="nil"/>
              <w:left w:val="nil"/>
              <w:bottom w:val="single" w:sz="4" w:space="0" w:color="auto"/>
              <w:right w:val="single" w:sz="4" w:space="0" w:color="auto"/>
            </w:tcBorders>
            <w:shd w:val="clear" w:color="000000" w:fill="FFFFFF"/>
            <w:noWrap/>
            <w:vAlign w:val="bottom"/>
            <w:hideMark/>
          </w:tcPr>
          <w:p w14:paraId="6BCC036F"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0,94</w:t>
            </w:r>
          </w:p>
        </w:tc>
        <w:tc>
          <w:tcPr>
            <w:tcW w:w="1240" w:type="dxa"/>
            <w:tcBorders>
              <w:top w:val="nil"/>
              <w:left w:val="nil"/>
              <w:bottom w:val="single" w:sz="4" w:space="0" w:color="auto"/>
              <w:right w:val="single" w:sz="4" w:space="0" w:color="auto"/>
            </w:tcBorders>
            <w:shd w:val="clear" w:color="000000" w:fill="FFFFFF"/>
            <w:noWrap/>
            <w:vAlign w:val="bottom"/>
            <w:hideMark/>
          </w:tcPr>
          <w:p w14:paraId="0CACB3D6"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132,04</w:t>
            </w:r>
          </w:p>
        </w:tc>
        <w:tc>
          <w:tcPr>
            <w:tcW w:w="1240" w:type="dxa"/>
            <w:tcBorders>
              <w:top w:val="nil"/>
              <w:left w:val="nil"/>
              <w:bottom w:val="single" w:sz="4" w:space="0" w:color="auto"/>
              <w:right w:val="single" w:sz="4" w:space="0" w:color="auto"/>
            </w:tcBorders>
            <w:shd w:val="clear" w:color="000000" w:fill="FFFFFF"/>
            <w:noWrap/>
            <w:vAlign w:val="bottom"/>
            <w:hideMark/>
          </w:tcPr>
          <w:p w14:paraId="587BD728"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129,29</w:t>
            </w:r>
          </w:p>
        </w:tc>
      </w:tr>
      <w:tr w:rsidR="004E10B7" w:rsidRPr="004E10B7" w14:paraId="34A89921" w14:textId="77777777" w:rsidTr="008A32EC">
        <w:trPr>
          <w:trHeight w:val="300"/>
          <w:jc w:val="center"/>
        </w:trPr>
        <w:tc>
          <w:tcPr>
            <w:tcW w:w="1076" w:type="dxa"/>
            <w:tcBorders>
              <w:top w:val="nil"/>
              <w:left w:val="single" w:sz="4" w:space="0" w:color="auto"/>
              <w:bottom w:val="single" w:sz="4" w:space="0" w:color="auto"/>
              <w:right w:val="single" w:sz="4" w:space="0" w:color="auto"/>
            </w:tcBorders>
            <w:shd w:val="clear" w:color="000000" w:fill="FFFFFF"/>
            <w:noWrap/>
            <w:vAlign w:val="bottom"/>
            <w:hideMark/>
          </w:tcPr>
          <w:p w14:paraId="0EBDA0E2" w14:textId="77777777" w:rsidR="0040637C" w:rsidRPr="004E10B7" w:rsidRDefault="0040637C"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Río N.</w:t>
            </w:r>
          </w:p>
        </w:tc>
        <w:tc>
          <w:tcPr>
            <w:tcW w:w="1240" w:type="dxa"/>
            <w:tcBorders>
              <w:top w:val="nil"/>
              <w:left w:val="nil"/>
              <w:bottom w:val="single" w:sz="4" w:space="0" w:color="auto"/>
              <w:right w:val="single" w:sz="4" w:space="0" w:color="auto"/>
            </w:tcBorders>
            <w:shd w:val="clear" w:color="000000" w:fill="FFFFFF"/>
            <w:noWrap/>
            <w:vAlign w:val="bottom"/>
            <w:hideMark/>
          </w:tcPr>
          <w:p w14:paraId="1BD1B64D"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0,95</w:t>
            </w:r>
          </w:p>
        </w:tc>
        <w:tc>
          <w:tcPr>
            <w:tcW w:w="1240" w:type="dxa"/>
            <w:tcBorders>
              <w:top w:val="nil"/>
              <w:left w:val="nil"/>
              <w:bottom w:val="single" w:sz="4" w:space="0" w:color="auto"/>
              <w:right w:val="single" w:sz="4" w:space="0" w:color="auto"/>
            </w:tcBorders>
            <w:shd w:val="clear" w:color="000000" w:fill="FFFFFF"/>
            <w:noWrap/>
            <w:vAlign w:val="bottom"/>
            <w:hideMark/>
          </w:tcPr>
          <w:p w14:paraId="574B644A"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0,97</w:t>
            </w:r>
          </w:p>
        </w:tc>
        <w:tc>
          <w:tcPr>
            <w:tcW w:w="1240" w:type="dxa"/>
            <w:tcBorders>
              <w:top w:val="nil"/>
              <w:left w:val="nil"/>
              <w:bottom w:val="single" w:sz="4" w:space="0" w:color="auto"/>
              <w:right w:val="single" w:sz="4" w:space="0" w:color="auto"/>
            </w:tcBorders>
            <w:shd w:val="clear" w:color="000000" w:fill="FFFFFF"/>
            <w:noWrap/>
            <w:vAlign w:val="bottom"/>
            <w:hideMark/>
          </w:tcPr>
          <w:p w14:paraId="02534D31"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0,95</w:t>
            </w:r>
          </w:p>
        </w:tc>
        <w:tc>
          <w:tcPr>
            <w:tcW w:w="1240" w:type="dxa"/>
            <w:tcBorders>
              <w:top w:val="nil"/>
              <w:left w:val="nil"/>
              <w:bottom w:val="single" w:sz="4" w:space="0" w:color="auto"/>
              <w:right w:val="single" w:sz="4" w:space="0" w:color="auto"/>
            </w:tcBorders>
            <w:shd w:val="clear" w:color="000000" w:fill="FFFFFF"/>
            <w:noWrap/>
            <w:vAlign w:val="bottom"/>
            <w:hideMark/>
          </w:tcPr>
          <w:p w14:paraId="50C51044"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102,57</w:t>
            </w:r>
          </w:p>
        </w:tc>
        <w:tc>
          <w:tcPr>
            <w:tcW w:w="1240" w:type="dxa"/>
            <w:tcBorders>
              <w:top w:val="nil"/>
              <w:left w:val="nil"/>
              <w:bottom w:val="single" w:sz="4" w:space="0" w:color="auto"/>
              <w:right w:val="single" w:sz="4" w:space="0" w:color="auto"/>
            </w:tcBorders>
            <w:shd w:val="clear" w:color="000000" w:fill="FFFFFF"/>
            <w:noWrap/>
            <w:vAlign w:val="bottom"/>
            <w:hideMark/>
          </w:tcPr>
          <w:p w14:paraId="330DD4C7"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100,56</w:t>
            </w:r>
          </w:p>
        </w:tc>
      </w:tr>
      <w:tr w:rsidR="004E10B7" w:rsidRPr="004E10B7" w14:paraId="3954BECE" w14:textId="77777777" w:rsidTr="008A32EC">
        <w:trPr>
          <w:trHeight w:val="300"/>
          <w:jc w:val="center"/>
        </w:trPr>
        <w:tc>
          <w:tcPr>
            <w:tcW w:w="1076" w:type="dxa"/>
            <w:tcBorders>
              <w:top w:val="nil"/>
              <w:left w:val="single" w:sz="4" w:space="0" w:color="auto"/>
              <w:bottom w:val="single" w:sz="4" w:space="0" w:color="auto"/>
              <w:right w:val="single" w:sz="4" w:space="0" w:color="auto"/>
            </w:tcBorders>
            <w:shd w:val="clear" w:color="000000" w:fill="FFFFFF"/>
            <w:noWrap/>
            <w:vAlign w:val="bottom"/>
            <w:hideMark/>
          </w:tcPr>
          <w:p w14:paraId="430761BA" w14:textId="77777777" w:rsidR="0040637C" w:rsidRPr="004E10B7" w:rsidRDefault="0040637C"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Salta</w:t>
            </w:r>
          </w:p>
        </w:tc>
        <w:tc>
          <w:tcPr>
            <w:tcW w:w="1240" w:type="dxa"/>
            <w:tcBorders>
              <w:top w:val="nil"/>
              <w:left w:val="nil"/>
              <w:bottom w:val="single" w:sz="4" w:space="0" w:color="auto"/>
              <w:right w:val="single" w:sz="4" w:space="0" w:color="auto"/>
            </w:tcBorders>
            <w:shd w:val="clear" w:color="000000" w:fill="FFFFFF"/>
            <w:noWrap/>
            <w:vAlign w:val="bottom"/>
            <w:hideMark/>
          </w:tcPr>
          <w:p w14:paraId="0D3CF524"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0,92</w:t>
            </w:r>
          </w:p>
        </w:tc>
        <w:tc>
          <w:tcPr>
            <w:tcW w:w="1240" w:type="dxa"/>
            <w:tcBorders>
              <w:top w:val="nil"/>
              <w:left w:val="nil"/>
              <w:bottom w:val="single" w:sz="4" w:space="0" w:color="auto"/>
              <w:right w:val="single" w:sz="4" w:space="0" w:color="auto"/>
            </w:tcBorders>
            <w:shd w:val="clear" w:color="000000" w:fill="FFFFFF"/>
            <w:noWrap/>
            <w:vAlign w:val="bottom"/>
            <w:hideMark/>
          </w:tcPr>
          <w:p w14:paraId="76950E03"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1,09</w:t>
            </w:r>
          </w:p>
        </w:tc>
        <w:tc>
          <w:tcPr>
            <w:tcW w:w="1240" w:type="dxa"/>
            <w:tcBorders>
              <w:top w:val="nil"/>
              <w:left w:val="nil"/>
              <w:bottom w:val="single" w:sz="4" w:space="0" w:color="auto"/>
              <w:right w:val="single" w:sz="4" w:space="0" w:color="auto"/>
            </w:tcBorders>
            <w:shd w:val="clear" w:color="000000" w:fill="FFFFFF"/>
            <w:noWrap/>
            <w:vAlign w:val="bottom"/>
            <w:hideMark/>
          </w:tcPr>
          <w:p w14:paraId="4F47822C"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0,85</w:t>
            </w:r>
          </w:p>
        </w:tc>
        <w:tc>
          <w:tcPr>
            <w:tcW w:w="1240" w:type="dxa"/>
            <w:tcBorders>
              <w:top w:val="nil"/>
              <w:left w:val="nil"/>
              <w:bottom w:val="single" w:sz="4" w:space="0" w:color="auto"/>
              <w:right w:val="single" w:sz="4" w:space="0" w:color="auto"/>
            </w:tcBorders>
            <w:shd w:val="clear" w:color="000000" w:fill="FFFFFF"/>
            <w:noWrap/>
            <w:vAlign w:val="bottom"/>
            <w:hideMark/>
          </w:tcPr>
          <w:p w14:paraId="0559C035"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119,38</w:t>
            </w:r>
          </w:p>
        </w:tc>
        <w:tc>
          <w:tcPr>
            <w:tcW w:w="1240" w:type="dxa"/>
            <w:tcBorders>
              <w:top w:val="nil"/>
              <w:left w:val="nil"/>
              <w:bottom w:val="single" w:sz="4" w:space="0" w:color="auto"/>
              <w:right w:val="single" w:sz="4" w:space="0" w:color="auto"/>
            </w:tcBorders>
            <w:shd w:val="clear" w:color="000000" w:fill="FFFFFF"/>
            <w:noWrap/>
            <w:vAlign w:val="bottom"/>
            <w:hideMark/>
          </w:tcPr>
          <w:p w14:paraId="5F2F6C25"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92,79</w:t>
            </w:r>
          </w:p>
        </w:tc>
      </w:tr>
      <w:tr w:rsidR="004E10B7" w:rsidRPr="004E10B7" w14:paraId="524AF26A" w14:textId="77777777" w:rsidTr="008A32EC">
        <w:trPr>
          <w:trHeight w:val="300"/>
          <w:jc w:val="center"/>
        </w:trPr>
        <w:tc>
          <w:tcPr>
            <w:tcW w:w="1076" w:type="dxa"/>
            <w:tcBorders>
              <w:top w:val="nil"/>
              <w:left w:val="single" w:sz="4" w:space="0" w:color="auto"/>
              <w:bottom w:val="single" w:sz="4" w:space="0" w:color="auto"/>
              <w:right w:val="single" w:sz="4" w:space="0" w:color="auto"/>
            </w:tcBorders>
            <w:shd w:val="clear" w:color="000000" w:fill="FFFFFF"/>
            <w:noWrap/>
            <w:vAlign w:val="bottom"/>
            <w:hideMark/>
          </w:tcPr>
          <w:p w14:paraId="0328A5E1" w14:textId="77777777" w:rsidR="0040637C" w:rsidRPr="004E10B7" w:rsidRDefault="0040637C"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S.J.</w:t>
            </w:r>
          </w:p>
        </w:tc>
        <w:tc>
          <w:tcPr>
            <w:tcW w:w="1240" w:type="dxa"/>
            <w:tcBorders>
              <w:top w:val="nil"/>
              <w:left w:val="nil"/>
              <w:bottom w:val="single" w:sz="4" w:space="0" w:color="auto"/>
              <w:right w:val="single" w:sz="4" w:space="0" w:color="auto"/>
            </w:tcBorders>
            <w:shd w:val="clear" w:color="000000" w:fill="FFFFFF"/>
            <w:noWrap/>
            <w:vAlign w:val="bottom"/>
            <w:hideMark/>
          </w:tcPr>
          <w:p w14:paraId="49704F53"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0,59</w:t>
            </w:r>
          </w:p>
        </w:tc>
        <w:tc>
          <w:tcPr>
            <w:tcW w:w="1240" w:type="dxa"/>
            <w:tcBorders>
              <w:top w:val="nil"/>
              <w:left w:val="nil"/>
              <w:bottom w:val="single" w:sz="4" w:space="0" w:color="auto"/>
              <w:right w:val="single" w:sz="4" w:space="0" w:color="auto"/>
            </w:tcBorders>
            <w:shd w:val="clear" w:color="000000" w:fill="FFFFFF"/>
            <w:noWrap/>
            <w:vAlign w:val="bottom"/>
            <w:hideMark/>
          </w:tcPr>
          <w:p w14:paraId="74A011E5"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0,92</w:t>
            </w:r>
          </w:p>
        </w:tc>
        <w:tc>
          <w:tcPr>
            <w:tcW w:w="1240" w:type="dxa"/>
            <w:tcBorders>
              <w:top w:val="nil"/>
              <w:left w:val="nil"/>
              <w:bottom w:val="single" w:sz="4" w:space="0" w:color="auto"/>
              <w:right w:val="single" w:sz="4" w:space="0" w:color="auto"/>
            </w:tcBorders>
            <w:shd w:val="clear" w:color="000000" w:fill="FFFFFF"/>
            <w:noWrap/>
            <w:vAlign w:val="bottom"/>
            <w:hideMark/>
          </w:tcPr>
          <w:p w14:paraId="3BDB80DE"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0,74</w:t>
            </w:r>
          </w:p>
        </w:tc>
        <w:tc>
          <w:tcPr>
            <w:tcW w:w="1240" w:type="dxa"/>
            <w:tcBorders>
              <w:top w:val="nil"/>
              <w:left w:val="nil"/>
              <w:bottom w:val="single" w:sz="4" w:space="0" w:color="auto"/>
              <w:right w:val="single" w:sz="4" w:space="0" w:color="auto"/>
            </w:tcBorders>
            <w:shd w:val="clear" w:color="000000" w:fill="FFFFFF"/>
            <w:noWrap/>
            <w:vAlign w:val="bottom"/>
            <w:hideMark/>
          </w:tcPr>
          <w:p w14:paraId="6EEB9618"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156,37</w:t>
            </w:r>
          </w:p>
        </w:tc>
        <w:tc>
          <w:tcPr>
            <w:tcW w:w="1240" w:type="dxa"/>
            <w:tcBorders>
              <w:top w:val="nil"/>
              <w:left w:val="nil"/>
              <w:bottom w:val="single" w:sz="4" w:space="0" w:color="auto"/>
              <w:right w:val="single" w:sz="4" w:space="0" w:color="auto"/>
            </w:tcBorders>
            <w:shd w:val="clear" w:color="000000" w:fill="FFFFFF"/>
            <w:noWrap/>
            <w:vAlign w:val="bottom"/>
            <w:hideMark/>
          </w:tcPr>
          <w:p w14:paraId="5EEA0191"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125,37</w:t>
            </w:r>
          </w:p>
        </w:tc>
      </w:tr>
      <w:tr w:rsidR="004E10B7" w:rsidRPr="004E10B7" w14:paraId="2559D450" w14:textId="77777777" w:rsidTr="008A32EC">
        <w:trPr>
          <w:trHeight w:val="300"/>
          <w:jc w:val="center"/>
        </w:trPr>
        <w:tc>
          <w:tcPr>
            <w:tcW w:w="1076" w:type="dxa"/>
            <w:tcBorders>
              <w:top w:val="nil"/>
              <w:left w:val="single" w:sz="4" w:space="0" w:color="auto"/>
              <w:bottom w:val="single" w:sz="4" w:space="0" w:color="auto"/>
              <w:right w:val="single" w:sz="4" w:space="0" w:color="auto"/>
            </w:tcBorders>
            <w:shd w:val="clear" w:color="000000" w:fill="FFFFFF"/>
            <w:noWrap/>
            <w:vAlign w:val="bottom"/>
            <w:hideMark/>
          </w:tcPr>
          <w:p w14:paraId="2042A513" w14:textId="77777777" w:rsidR="0040637C" w:rsidRPr="004E10B7" w:rsidRDefault="0040637C"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S. Luis</w:t>
            </w:r>
          </w:p>
        </w:tc>
        <w:tc>
          <w:tcPr>
            <w:tcW w:w="1240" w:type="dxa"/>
            <w:tcBorders>
              <w:top w:val="nil"/>
              <w:left w:val="nil"/>
              <w:bottom w:val="single" w:sz="4" w:space="0" w:color="auto"/>
              <w:right w:val="single" w:sz="4" w:space="0" w:color="auto"/>
            </w:tcBorders>
            <w:shd w:val="clear" w:color="000000" w:fill="FFFFFF"/>
            <w:noWrap/>
            <w:vAlign w:val="bottom"/>
            <w:hideMark/>
          </w:tcPr>
          <w:p w14:paraId="37C39834"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0,80</w:t>
            </w:r>
          </w:p>
        </w:tc>
        <w:tc>
          <w:tcPr>
            <w:tcW w:w="1240" w:type="dxa"/>
            <w:tcBorders>
              <w:top w:val="nil"/>
              <w:left w:val="nil"/>
              <w:bottom w:val="single" w:sz="4" w:space="0" w:color="auto"/>
              <w:right w:val="single" w:sz="4" w:space="0" w:color="auto"/>
            </w:tcBorders>
            <w:shd w:val="clear" w:color="000000" w:fill="FFFFFF"/>
            <w:noWrap/>
            <w:vAlign w:val="bottom"/>
            <w:hideMark/>
          </w:tcPr>
          <w:p w14:paraId="65B2D59C"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0,89</w:t>
            </w:r>
          </w:p>
        </w:tc>
        <w:tc>
          <w:tcPr>
            <w:tcW w:w="1240" w:type="dxa"/>
            <w:tcBorders>
              <w:top w:val="nil"/>
              <w:left w:val="nil"/>
              <w:bottom w:val="single" w:sz="4" w:space="0" w:color="auto"/>
              <w:right w:val="single" w:sz="4" w:space="0" w:color="auto"/>
            </w:tcBorders>
            <w:shd w:val="clear" w:color="000000" w:fill="FFFFFF"/>
            <w:noWrap/>
            <w:vAlign w:val="bottom"/>
            <w:hideMark/>
          </w:tcPr>
          <w:p w14:paraId="18B9AFE5"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0,80</w:t>
            </w:r>
          </w:p>
        </w:tc>
        <w:tc>
          <w:tcPr>
            <w:tcW w:w="1240" w:type="dxa"/>
            <w:tcBorders>
              <w:top w:val="nil"/>
              <w:left w:val="nil"/>
              <w:bottom w:val="single" w:sz="4" w:space="0" w:color="auto"/>
              <w:right w:val="single" w:sz="4" w:space="0" w:color="auto"/>
            </w:tcBorders>
            <w:shd w:val="clear" w:color="000000" w:fill="FFFFFF"/>
            <w:noWrap/>
            <w:vAlign w:val="bottom"/>
            <w:hideMark/>
          </w:tcPr>
          <w:p w14:paraId="269D9F16"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111,12</w:t>
            </w:r>
          </w:p>
        </w:tc>
        <w:tc>
          <w:tcPr>
            <w:tcW w:w="1240" w:type="dxa"/>
            <w:tcBorders>
              <w:top w:val="nil"/>
              <w:left w:val="nil"/>
              <w:bottom w:val="single" w:sz="4" w:space="0" w:color="auto"/>
              <w:right w:val="single" w:sz="4" w:space="0" w:color="auto"/>
            </w:tcBorders>
            <w:shd w:val="clear" w:color="000000" w:fill="FFFFFF"/>
            <w:noWrap/>
            <w:vAlign w:val="bottom"/>
            <w:hideMark/>
          </w:tcPr>
          <w:p w14:paraId="07ECDFFE"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99,42</w:t>
            </w:r>
          </w:p>
        </w:tc>
      </w:tr>
      <w:tr w:rsidR="004E10B7" w:rsidRPr="004E10B7" w14:paraId="453C2C7D" w14:textId="77777777" w:rsidTr="008A32EC">
        <w:trPr>
          <w:trHeight w:val="300"/>
          <w:jc w:val="center"/>
        </w:trPr>
        <w:tc>
          <w:tcPr>
            <w:tcW w:w="1076" w:type="dxa"/>
            <w:tcBorders>
              <w:top w:val="nil"/>
              <w:left w:val="single" w:sz="4" w:space="0" w:color="auto"/>
              <w:bottom w:val="single" w:sz="4" w:space="0" w:color="auto"/>
              <w:right w:val="single" w:sz="4" w:space="0" w:color="auto"/>
            </w:tcBorders>
            <w:shd w:val="clear" w:color="000000" w:fill="FFFFFF"/>
            <w:noWrap/>
            <w:vAlign w:val="bottom"/>
            <w:hideMark/>
          </w:tcPr>
          <w:p w14:paraId="0232CE05" w14:textId="77777777" w:rsidR="0040637C" w:rsidRPr="004E10B7" w:rsidRDefault="0040637C"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Sta. Cruz</w:t>
            </w:r>
          </w:p>
        </w:tc>
        <w:tc>
          <w:tcPr>
            <w:tcW w:w="1240" w:type="dxa"/>
            <w:tcBorders>
              <w:top w:val="nil"/>
              <w:left w:val="nil"/>
              <w:bottom w:val="single" w:sz="4" w:space="0" w:color="auto"/>
              <w:right w:val="single" w:sz="4" w:space="0" w:color="auto"/>
            </w:tcBorders>
            <w:shd w:val="clear" w:color="000000" w:fill="FFFFFF"/>
            <w:noWrap/>
            <w:vAlign w:val="bottom"/>
            <w:hideMark/>
          </w:tcPr>
          <w:p w14:paraId="721637D5"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0,72</w:t>
            </w:r>
          </w:p>
        </w:tc>
        <w:tc>
          <w:tcPr>
            <w:tcW w:w="1240" w:type="dxa"/>
            <w:tcBorders>
              <w:top w:val="nil"/>
              <w:left w:val="nil"/>
              <w:bottom w:val="single" w:sz="4" w:space="0" w:color="auto"/>
              <w:right w:val="single" w:sz="4" w:space="0" w:color="auto"/>
            </w:tcBorders>
            <w:shd w:val="clear" w:color="000000" w:fill="FFFFFF"/>
            <w:noWrap/>
            <w:vAlign w:val="bottom"/>
            <w:hideMark/>
          </w:tcPr>
          <w:p w14:paraId="5968D20D"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0,81</w:t>
            </w:r>
          </w:p>
        </w:tc>
        <w:tc>
          <w:tcPr>
            <w:tcW w:w="1240" w:type="dxa"/>
            <w:tcBorders>
              <w:top w:val="nil"/>
              <w:left w:val="nil"/>
              <w:bottom w:val="single" w:sz="4" w:space="0" w:color="auto"/>
              <w:right w:val="single" w:sz="4" w:space="0" w:color="auto"/>
            </w:tcBorders>
            <w:shd w:val="clear" w:color="000000" w:fill="FFFFFF"/>
            <w:noWrap/>
            <w:vAlign w:val="bottom"/>
            <w:hideMark/>
          </w:tcPr>
          <w:p w14:paraId="254F2E3E"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0,90</w:t>
            </w:r>
          </w:p>
        </w:tc>
        <w:tc>
          <w:tcPr>
            <w:tcW w:w="1240" w:type="dxa"/>
            <w:tcBorders>
              <w:top w:val="nil"/>
              <w:left w:val="nil"/>
              <w:bottom w:val="single" w:sz="4" w:space="0" w:color="auto"/>
              <w:right w:val="single" w:sz="4" w:space="0" w:color="auto"/>
            </w:tcBorders>
            <w:shd w:val="clear" w:color="000000" w:fill="FFFFFF"/>
            <w:noWrap/>
            <w:vAlign w:val="bottom"/>
            <w:hideMark/>
          </w:tcPr>
          <w:p w14:paraId="69ADBB1D"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112,98</w:t>
            </w:r>
          </w:p>
        </w:tc>
        <w:tc>
          <w:tcPr>
            <w:tcW w:w="1240" w:type="dxa"/>
            <w:tcBorders>
              <w:top w:val="nil"/>
              <w:left w:val="nil"/>
              <w:bottom w:val="single" w:sz="4" w:space="0" w:color="auto"/>
              <w:right w:val="single" w:sz="4" w:space="0" w:color="auto"/>
            </w:tcBorders>
            <w:shd w:val="clear" w:color="000000" w:fill="FFFFFF"/>
            <w:noWrap/>
            <w:vAlign w:val="bottom"/>
            <w:hideMark/>
          </w:tcPr>
          <w:p w14:paraId="48F04963"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125,81</w:t>
            </w:r>
          </w:p>
        </w:tc>
      </w:tr>
      <w:tr w:rsidR="004E10B7" w:rsidRPr="004E10B7" w14:paraId="756019FD" w14:textId="77777777" w:rsidTr="008A32EC">
        <w:trPr>
          <w:trHeight w:val="300"/>
          <w:jc w:val="center"/>
        </w:trPr>
        <w:tc>
          <w:tcPr>
            <w:tcW w:w="1076" w:type="dxa"/>
            <w:tcBorders>
              <w:top w:val="nil"/>
              <w:left w:val="single" w:sz="4" w:space="0" w:color="auto"/>
              <w:bottom w:val="single" w:sz="4" w:space="0" w:color="auto"/>
              <w:right w:val="single" w:sz="4" w:space="0" w:color="auto"/>
            </w:tcBorders>
            <w:shd w:val="clear" w:color="000000" w:fill="FFFFFF"/>
            <w:noWrap/>
            <w:vAlign w:val="bottom"/>
            <w:hideMark/>
          </w:tcPr>
          <w:p w14:paraId="308382DD" w14:textId="77777777" w:rsidR="0040637C" w:rsidRPr="004E10B7" w:rsidRDefault="0040637C"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Sta. Fe</w:t>
            </w:r>
          </w:p>
        </w:tc>
        <w:tc>
          <w:tcPr>
            <w:tcW w:w="1240" w:type="dxa"/>
            <w:tcBorders>
              <w:top w:val="nil"/>
              <w:left w:val="nil"/>
              <w:bottom w:val="single" w:sz="4" w:space="0" w:color="auto"/>
              <w:right w:val="single" w:sz="4" w:space="0" w:color="auto"/>
            </w:tcBorders>
            <w:shd w:val="clear" w:color="000000" w:fill="FFFFFF"/>
            <w:noWrap/>
            <w:vAlign w:val="bottom"/>
            <w:hideMark/>
          </w:tcPr>
          <w:p w14:paraId="40402EC1"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1,03</w:t>
            </w:r>
          </w:p>
        </w:tc>
        <w:tc>
          <w:tcPr>
            <w:tcW w:w="1240" w:type="dxa"/>
            <w:tcBorders>
              <w:top w:val="nil"/>
              <w:left w:val="nil"/>
              <w:bottom w:val="single" w:sz="4" w:space="0" w:color="auto"/>
              <w:right w:val="single" w:sz="4" w:space="0" w:color="auto"/>
            </w:tcBorders>
            <w:shd w:val="clear" w:color="000000" w:fill="FFFFFF"/>
            <w:noWrap/>
            <w:vAlign w:val="bottom"/>
            <w:hideMark/>
          </w:tcPr>
          <w:p w14:paraId="794E6D1D"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0,93</w:t>
            </w:r>
          </w:p>
        </w:tc>
        <w:tc>
          <w:tcPr>
            <w:tcW w:w="1240" w:type="dxa"/>
            <w:tcBorders>
              <w:top w:val="nil"/>
              <w:left w:val="nil"/>
              <w:bottom w:val="single" w:sz="4" w:space="0" w:color="auto"/>
              <w:right w:val="single" w:sz="4" w:space="0" w:color="auto"/>
            </w:tcBorders>
            <w:shd w:val="clear" w:color="000000" w:fill="FFFFFF"/>
            <w:noWrap/>
            <w:vAlign w:val="bottom"/>
            <w:hideMark/>
          </w:tcPr>
          <w:p w14:paraId="50BCEAEB"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0,86</w:t>
            </w:r>
          </w:p>
        </w:tc>
        <w:tc>
          <w:tcPr>
            <w:tcW w:w="1240" w:type="dxa"/>
            <w:tcBorders>
              <w:top w:val="nil"/>
              <w:left w:val="nil"/>
              <w:bottom w:val="single" w:sz="4" w:space="0" w:color="auto"/>
              <w:right w:val="single" w:sz="4" w:space="0" w:color="auto"/>
            </w:tcBorders>
            <w:shd w:val="clear" w:color="000000" w:fill="FFFFFF"/>
            <w:noWrap/>
            <w:vAlign w:val="bottom"/>
            <w:hideMark/>
          </w:tcPr>
          <w:p w14:paraId="7A8D1D19"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89,88</w:t>
            </w:r>
          </w:p>
        </w:tc>
        <w:tc>
          <w:tcPr>
            <w:tcW w:w="1240" w:type="dxa"/>
            <w:tcBorders>
              <w:top w:val="nil"/>
              <w:left w:val="nil"/>
              <w:bottom w:val="single" w:sz="4" w:space="0" w:color="auto"/>
              <w:right w:val="single" w:sz="4" w:space="0" w:color="auto"/>
            </w:tcBorders>
            <w:shd w:val="clear" w:color="000000" w:fill="FFFFFF"/>
            <w:noWrap/>
            <w:vAlign w:val="bottom"/>
            <w:hideMark/>
          </w:tcPr>
          <w:p w14:paraId="12A23F39"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83,91</w:t>
            </w:r>
          </w:p>
        </w:tc>
      </w:tr>
      <w:tr w:rsidR="004E10B7" w:rsidRPr="004E10B7" w14:paraId="230042B6" w14:textId="77777777" w:rsidTr="008A32EC">
        <w:trPr>
          <w:trHeight w:val="300"/>
          <w:jc w:val="center"/>
        </w:trPr>
        <w:tc>
          <w:tcPr>
            <w:tcW w:w="1076" w:type="dxa"/>
            <w:tcBorders>
              <w:top w:val="nil"/>
              <w:left w:val="single" w:sz="4" w:space="0" w:color="auto"/>
              <w:bottom w:val="single" w:sz="4" w:space="0" w:color="auto"/>
              <w:right w:val="single" w:sz="4" w:space="0" w:color="auto"/>
            </w:tcBorders>
            <w:shd w:val="clear" w:color="000000" w:fill="FFFFFF"/>
            <w:noWrap/>
            <w:vAlign w:val="bottom"/>
            <w:hideMark/>
          </w:tcPr>
          <w:p w14:paraId="02D1E62A" w14:textId="77777777" w:rsidR="0040637C" w:rsidRPr="004E10B7" w:rsidRDefault="0040637C"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Stgo d.E.</w:t>
            </w:r>
          </w:p>
        </w:tc>
        <w:tc>
          <w:tcPr>
            <w:tcW w:w="1240" w:type="dxa"/>
            <w:tcBorders>
              <w:top w:val="nil"/>
              <w:left w:val="nil"/>
              <w:bottom w:val="single" w:sz="4" w:space="0" w:color="auto"/>
              <w:right w:val="single" w:sz="4" w:space="0" w:color="auto"/>
            </w:tcBorders>
            <w:shd w:val="clear" w:color="000000" w:fill="FFFFFF"/>
            <w:noWrap/>
            <w:vAlign w:val="bottom"/>
            <w:hideMark/>
          </w:tcPr>
          <w:p w14:paraId="4977986C"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0,57</w:t>
            </w:r>
          </w:p>
        </w:tc>
        <w:tc>
          <w:tcPr>
            <w:tcW w:w="1240" w:type="dxa"/>
            <w:tcBorders>
              <w:top w:val="nil"/>
              <w:left w:val="nil"/>
              <w:bottom w:val="single" w:sz="4" w:space="0" w:color="auto"/>
              <w:right w:val="single" w:sz="4" w:space="0" w:color="auto"/>
            </w:tcBorders>
            <w:shd w:val="clear" w:color="000000" w:fill="FFFFFF"/>
            <w:noWrap/>
            <w:vAlign w:val="bottom"/>
            <w:hideMark/>
          </w:tcPr>
          <w:p w14:paraId="0C1F45CD"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0,73</w:t>
            </w:r>
          </w:p>
        </w:tc>
        <w:tc>
          <w:tcPr>
            <w:tcW w:w="1240" w:type="dxa"/>
            <w:tcBorders>
              <w:top w:val="nil"/>
              <w:left w:val="nil"/>
              <w:bottom w:val="single" w:sz="4" w:space="0" w:color="auto"/>
              <w:right w:val="single" w:sz="4" w:space="0" w:color="auto"/>
            </w:tcBorders>
            <w:shd w:val="clear" w:color="000000" w:fill="FFFFFF"/>
            <w:noWrap/>
            <w:vAlign w:val="bottom"/>
            <w:hideMark/>
          </w:tcPr>
          <w:p w14:paraId="26C5766E"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0,54</w:t>
            </w:r>
          </w:p>
        </w:tc>
        <w:tc>
          <w:tcPr>
            <w:tcW w:w="1240" w:type="dxa"/>
            <w:tcBorders>
              <w:top w:val="nil"/>
              <w:left w:val="nil"/>
              <w:bottom w:val="single" w:sz="4" w:space="0" w:color="auto"/>
              <w:right w:val="single" w:sz="4" w:space="0" w:color="auto"/>
            </w:tcBorders>
            <w:shd w:val="clear" w:color="000000" w:fill="FFFFFF"/>
            <w:noWrap/>
            <w:vAlign w:val="bottom"/>
            <w:hideMark/>
          </w:tcPr>
          <w:p w14:paraId="005D3334"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127,48</w:t>
            </w:r>
          </w:p>
        </w:tc>
        <w:tc>
          <w:tcPr>
            <w:tcW w:w="1240" w:type="dxa"/>
            <w:tcBorders>
              <w:top w:val="nil"/>
              <w:left w:val="nil"/>
              <w:bottom w:val="single" w:sz="4" w:space="0" w:color="auto"/>
              <w:right w:val="single" w:sz="4" w:space="0" w:color="auto"/>
            </w:tcBorders>
            <w:shd w:val="clear" w:color="000000" w:fill="FFFFFF"/>
            <w:noWrap/>
            <w:vAlign w:val="bottom"/>
            <w:hideMark/>
          </w:tcPr>
          <w:p w14:paraId="1282122F"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94,85</w:t>
            </w:r>
          </w:p>
        </w:tc>
      </w:tr>
      <w:tr w:rsidR="004E10B7" w:rsidRPr="004E10B7" w14:paraId="4EF77250" w14:textId="77777777" w:rsidTr="008A32EC">
        <w:trPr>
          <w:trHeight w:val="300"/>
          <w:jc w:val="center"/>
        </w:trPr>
        <w:tc>
          <w:tcPr>
            <w:tcW w:w="1076" w:type="dxa"/>
            <w:tcBorders>
              <w:top w:val="nil"/>
              <w:left w:val="single" w:sz="4" w:space="0" w:color="auto"/>
              <w:bottom w:val="single" w:sz="4" w:space="0" w:color="auto"/>
              <w:right w:val="single" w:sz="4" w:space="0" w:color="auto"/>
            </w:tcBorders>
            <w:shd w:val="clear" w:color="000000" w:fill="FFFFFF"/>
            <w:noWrap/>
            <w:vAlign w:val="bottom"/>
            <w:hideMark/>
          </w:tcPr>
          <w:p w14:paraId="5C0BF359" w14:textId="77777777" w:rsidR="0040637C" w:rsidRPr="004E10B7" w:rsidRDefault="0040637C"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Tierra d.F.</w:t>
            </w:r>
          </w:p>
        </w:tc>
        <w:tc>
          <w:tcPr>
            <w:tcW w:w="1240" w:type="dxa"/>
            <w:tcBorders>
              <w:top w:val="nil"/>
              <w:left w:val="nil"/>
              <w:bottom w:val="single" w:sz="4" w:space="0" w:color="auto"/>
              <w:right w:val="single" w:sz="4" w:space="0" w:color="auto"/>
            </w:tcBorders>
            <w:shd w:val="clear" w:color="000000" w:fill="FFFFFF"/>
            <w:noWrap/>
            <w:vAlign w:val="bottom"/>
            <w:hideMark/>
          </w:tcPr>
          <w:p w14:paraId="51838854"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1,15</w:t>
            </w:r>
          </w:p>
        </w:tc>
        <w:tc>
          <w:tcPr>
            <w:tcW w:w="1240" w:type="dxa"/>
            <w:tcBorders>
              <w:top w:val="nil"/>
              <w:left w:val="nil"/>
              <w:bottom w:val="single" w:sz="4" w:space="0" w:color="auto"/>
              <w:right w:val="single" w:sz="4" w:space="0" w:color="auto"/>
            </w:tcBorders>
            <w:shd w:val="clear" w:color="000000" w:fill="FFFFFF"/>
            <w:noWrap/>
            <w:vAlign w:val="bottom"/>
            <w:hideMark/>
          </w:tcPr>
          <w:p w14:paraId="3E11E70B"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1,04</w:t>
            </w:r>
          </w:p>
        </w:tc>
        <w:tc>
          <w:tcPr>
            <w:tcW w:w="1240" w:type="dxa"/>
            <w:tcBorders>
              <w:top w:val="nil"/>
              <w:left w:val="nil"/>
              <w:bottom w:val="single" w:sz="4" w:space="0" w:color="auto"/>
              <w:right w:val="single" w:sz="4" w:space="0" w:color="auto"/>
            </w:tcBorders>
            <w:shd w:val="clear" w:color="000000" w:fill="FFFFFF"/>
            <w:noWrap/>
            <w:vAlign w:val="bottom"/>
            <w:hideMark/>
          </w:tcPr>
          <w:p w14:paraId="4FD95362"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0,86</w:t>
            </w:r>
          </w:p>
        </w:tc>
        <w:tc>
          <w:tcPr>
            <w:tcW w:w="1240" w:type="dxa"/>
            <w:tcBorders>
              <w:top w:val="nil"/>
              <w:left w:val="nil"/>
              <w:bottom w:val="single" w:sz="4" w:space="0" w:color="auto"/>
              <w:right w:val="single" w:sz="4" w:space="0" w:color="auto"/>
            </w:tcBorders>
            <w:shd w:val="clear" w:color="000000" w:fill="FFFFFF"/>
            <w:noWrap/>
            <w:vAlign w:val="bottom"/>
            <w:hideMark/>
          </w:tcPr>
          <w:p w14:paraId="5F60ADE4"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90,31</w:t>
            </w:r>
          </w:p>
        </w:tc>
        <w:tc>
          <w:tcPr>
            <w:tcW w:w="1240" w:type="dxa"/>
            <w:tcBorders>
              <w:top w:val="nil"/>
              <w:left w:val="nil"/>
              <w:bottom w:val="single" w:sz="4" w:space="0" w:color="auto"/>
              <w:right w:val="single" w:sz="4" w:space="0" w:color="auto"/>
            </w:tcBorders>
            <w:shd w:val="clear" w:color="000000" w:fill="FFFFFF"/>
            <w:noWrap/>
            <w:vAlign w:val="bottom"/>
            <w:hideMark/>
          </w:tcPr>
          <w:p w14:paraId="1AFBF51F"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74,92</w:t>
            </w:r>
          </w:p>
        </w:tc>
      </w:tr>
      <w:tr w:rsidR="004E10B7" w:rsidRPr="004E10B7" w14:paraId="78816BAF" w14:textId="77777777" w:rsidTr="008A32EC">
        <w:trPr>
          <w:trHeight w:val="300"/>
          <w:jc w:val="center"/>
        </w:trPr>
        <w:tc>
          <w:tcPr>
            <w:tcW w:w="1076" w:type="dxa"/>
            <w:tcBorders>
              <w:top w:val="nil"/>
              <w:left w:val="single" w:sz="4" w:space="0" w:color="auto"/>
              <w:bottom w:val="single" w:sz="4" w:space="0" w:color="auto"/>
              <w:right w:val="single" w:sz="4" w:space="0" w:color="auto"/>
            </w:tcBorders>
            <w:shd w:val="clear" w:color="000000" w:fill="FFFFFF"/>
            <w:noWrap/>
            <w:vAlign w:val="bottom"/>
            <w:hideMark/>
          </w:tcPr>
          <w:p w14:paraId="05E94EEB" w14:textId="77777777" w:rsidR="0040637C" w:rsidRPr="004E10B7" w:rsidRDefault="0040637C"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Tucu.</w:t>
            </w:r>
          </w:p>
        </w:tc>
        <w:tc>
          <w:tcPr>
            <w:tcW w:w="1240" w:type="dxa"/>
            <w:tcBorders>
              <w:top w:val="nil"/>
              <w:left w:val="nil"/>
              <w:bottom w:val="single" w:sz="4" w:space="0" w:color="auto"/>
              <w:right w:val="single" w:sz="4" w:space="0" w:color="auto"/>
            </w:tcBorders>
            <w:shd w:val="clear" w:color="000000" w:fill="FFFFFF"/>
            <w:noWrap/>
            <w:vAlign w:val="bottom"/>
            <w:hideMark/>
          </w:tcPr>
          <w:p w14:paraId="62853767"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0,80</w:t>
            </w:r>
          </w:p>
        </w:tc>
        <w:tc>
          <w:tcPr>
            <w:tcW w:w="1240" w:type="dxa"/>
            <w:tcBorders>
              <w:top w:val="nil"/>
              <w:left w:val="nil"/>
              <w:bottom w:val="single" w:sz="4" w:space="0" w:color="auto"/>
              <w:right w:val="single" w:sz="4" w:space="0" w:color="auto"/>
            </w:tcBorders>
            <w:shd w:val="clear" w:color="000000" w:fill="FFFFFF"/>
            <w:noWrap/>
            <w:vAlign w:val="bottom"/>
            <w:hideMark/>
          </w:tcPr>
          <w:p w14:paraId="2BAB66CD"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1,13</w:t>
            </w:r>
          </w:p>
        </w:tc>
        <w:tc>
          <w:tcPr>
            <w:tcW w:w="1240" w:type="dxa"/>
            <w:tcBorders>
              <w:top w:val="nil"/>
              <w:left w:val="nil"/>
              <w:bottom w:val="single" w:sz="4" w:space="0" w:color="auto"/>
              <w:right w:val="single" w:sz="4" w:space="0" w:color="auto"/>
            </w:tcBorders>
            <w:shd w:val="clear" w:color="000000" w:fill="FFFFFF"/>
            <w:noWrap/>
            <w:vAlign w:val="bottom"/>
            <w:hideMark/>
          </w:tcPr>
          <w:p w14:paraId="69938E07"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1,46</w:t>
            </w:r>
          </w:p>
        </w:tc>
        <w:tc>
          <w:tcPr>
            <w:tcW w:w="1240" w:type="dxa"/>
            <w:tcBorders>
              <w:top w:val="nil"/>
              <w:left w:val="nil"/>
              <w:bottom w:val="single" w:sz="4" w:space="0" w:color="auto"/>
              <w:right w:val="single" w:sz="4" w:space="0" w:color="auto"/>
            </w:tcBorders>
            <w:shd w:val="clear" w:color="000000" w:fill="FFFFFF"/>
            <w:noWrap/>
            <w:vAlign w:val="bottom"/>
            <w:hideMark/>
          </w:tcPr>
          <w:p w14:paraId="5CBC8E4A"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140,87</w:t>
            </w:r>
          </w:p>
        </w:tc>
        <w:tc>
          <w:tcPr>
            <w:tcW w:w="1240" w:type="dxa"/>
            <w:tcBorders>
              <w:top w:val="nil"/>
              <w:left w:val="nil"/>
              <w:bottom w:val="single" w:sz="4" w:space="0" w:color="auto"/>
              <w:right w:val="single" w:sz="4" w:space="0" w:color="auto"/>
            </w:tcBorders>
            <w:shd w:val="clear" w:color="000000" w:fill="FFFFFF"/>
            <w:noWrap/>
            <w:vAlign w:val="bottom"/>
            <w:hideMark/>
          </w:tcPr>
          <w:p w14:paraId="48AB8E5D" w14:textId="77777777" w:rsidR="0040637C" w:rsidRPr="004E10B7" w:rsidRDefault="0040637C"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181,78</w:t>
            </w:r>
          </w:p>
        </w:tc>
      </w:tr>
    </w:tbl>
    <w:p w14:paraId="74414B4C" w14:textId="77777777" w:rsidR="007163AB" w:rsidRPr="004E10B7" w:rsidRDefault="007163AB" w:rsidP="008B5D7F">
      <w:pPr>
        <w:spacing w:line="240" w:lineRule="auto"/>
        <w:jc w:val="center"/>
        <w:rPr>
          <w:rFonts w:cstheme="minorHAnsi"/>
          <w:sz w:val="16"/>
          <w:szCs w:val="16"/>
          <w:lang w:val="es-AR"/>
        </w:rPr>
      </w:pPr>
      <w:r w:rsidRPr="004E10B7">
        <w:rPr>
          <w:rFonts w:cstheme="minorHAnsi"/>
          <w:sz w:val="16"/>
          <w:szCs w:val="16"/>
          <w:lang w:val="es-AR"/>
        </w:rPr>
        <w:t>Fuente: Elaboración propia.</w:t>
      </w:r>
    </w:p>
    <w:p w14:paraId="52EA54EE" w14:textId="1329268F" w:rsidR="0027447D" w:rsidRPr="004E10B7" w:rsidRDefault="0027447D" w:rsidP="008B5D7F">
      <w:pPr>
        <w:spacing w:line="240" w:lineRule="auto"/>
        <w:rPr>
          <w:rFonts w:cstheme="minorHAnsi"/>
          <w:lang w:val="es-AR"/>
        </w:rPr>
      </w:pPr>
      <w:r w:rsidRPr="004E10B7">
        <w:rPr>
          <w:rFonts w:cstheme="minorHAnsi"/>
          <w:lang w:val="es-AR"/>
        </w:rPr>
        <w:t xml:space="preserve">Las provincias que en 2014 presentaron mayor EF son Misiones, Tucumán, Chubut, Neuquén, Santa Cruz y San Juan. Sin embargo, con excepción de Chubut, todas las provincias mencionadas comenzaron el periodo bajo análisis, año 1993, </w:t>
      </w:r>
      <w:r w:rsidR="00C41402">
        <w:rPr>
          <w:rFonts w:cstheme="minorHAnsi"/>
          <w:lang w:val="es-AR"/>
        </w:rPr>
        <w:t xml:space="preserve">dentro de las provincias con peores </w:t>
      </w:r>
      <w:r w:rsidRPr="004E10B7">
        <w:rPr>
          <w:rFonts w:cstheme="minorHAnsi"/>
          <w:lang w:val="es-AR"/>
        </w:rPr>
        <w:t>“órdenes”</w:t>
      </w:r>
      <w:r w:rsidR="00C41402">
        <w:rPr>
          <w:rFonts w:cstheme="minorHAnsi"/>
          <w:lang w:val="es-AR"/>
        </w:rPr>
        <w:t xml:space="preserve"> (dentro del 50% con peor orden)</w:t>
      </w:r>
      <w:r w:rsidRPr="004E10B7">
        <w:rPr>
          <w:rFonts w:cstheme="minorHAnsi"/>
          <w:lang w:val="es-AR"/>
        </w:rPr>
        <w:t>, implicando que estas provincias presentaron una mejora relativa del esfuerzo fiscal medido a través del IREF durante el periodo analizado.</w:t>
      </w:r>
    </w:p>
    <w:p w14:paraId="4C97195B" w14:textId="1D2F7507" w:rsidR="0040637C" w:rsidRPr="004E10B7" w:rsidRDefault="0027447D" w:rsidP="008B5D7F">
      <w:pPr>
        <w:spacing w:line="240" w:lineRule="auto"/>
        <w:rPr>
          <w:rFonts w:cstheme="minorHAnsi"/>
          <w:lang w:val="es-AR"/>
        </w:rPr>
      </w:pPr>
      <w:r w:rsidRPr="004E10B7">
        <w:rPr>
          <w:rFonts w:cstheme="minorHAnsi"/>
          <w:lang w:val="es-AR"/>
        </w:rPr>
        <w:t>Se destaca en esta ubicación relativa de posiciones de acuerdo al valor de EF obtenido</w:t>
      </w:r>
      <w:r w:rsidR="0094047B" w:rsidRPr="004E10B7">
        <w:rPr>
          <w:rFonts w:cstheme="minorHAnsi"/>
          <w:lang w:val="es-AR"/>
        </w:rPr>
        <w:t xml:space="preserve"> la situación de CABA y Catamarca, que comienzan en el año 1993 estando entre los primeros puestos, es decir valores superiores de esfuerzo fiscal relativo, y terminaron el periodo bajo análisis en el año 2014 entre los más bajos.</w:t>
      </w:r>
    </w:p>
    <w:p w14:paraId="3B71C8FC" w14:textId="54E1EDCE" w:rsidR="00391B70" w:rsidRDefault="00C13AE4" w:rsidP="008B5D7F">
      <w:pPr>
        <w:spacing w:line="240" w:lineRule="auto"/>
        <w:rPr>
          <w:rFonts w:cstheme="minorHAnsi"/>
          <w:lang w:val="es-AR"/>
        </w:rPr>
      </w:pPr>
      <w:r w:rsidRPr="004E10B7">
        <w:rPr>
          <w:rFonts w:cstheme="minorHAnsi"/>
          <w:lang w:val="es-AR"/>
        </w:rPr>
        <w:t>Los resultados de CF2, o PBG, indican que CABA, Buenos Aires, Santa Fe y Córdoba se encontraron todos los años bajo análisis (1993-2014) por encima del promedio anual de los valores provinciales. Por otro lado</w:t>
      </w:r>
      <w:r w:rsidR="0035685F">
        <w:rPr>
          <w:rFonts w:cstheme="minorHAnsi"/>
          <w:lang w:val="es-AR"/>
        </w:rPr>
        <w:t>,</w:t>
      </w:r>
      <w:r w:rsidRPr="004E10B7">
        <w:rPr>
          <w:rFonts w:cstheme="minorHAnsi"/>
          <w:lang w:val="es-AR"/>
        </w:rPr>
        <w:t xml:space="preserve"> Mendoza presentó 9 años una capacidad fiscal superior al promedio según el PBG</w:t>
      </w:r>
      <w:r w:rsidR="00B54D85" w:rsidRPr="004E10B7">
        <w:rPr>
          <w:rFonts w:cstheme="minorHAnsi"/>
          <w:lang w:val="es-AR"/>
        </w:rPr>
        <w:t>, durante los años 2003-2007 y 2011-2014. El resto de las provincias se encontraron durante los 22 años bajo análisis por debajo del promedio anual.</w:t>
      </w:r>
    </w:p>
    <w:p w14:paraId="77934E89" w14:textId="091EACF3" w:rsidR="00391B70" w:rsidRPr="00E95008" w:rsidRDefault="00391B70" w:rsidP="008B5D7F">
      <w:pPr>
        <w:pStyle w:val="Prrafodelista"/>
        <w:numPr>
          <w:ilvl w:val="0"/>
          <w:numId w:val="5"/>
        </w:numPr>
        <w:spacing w:line="240" w:lineRule="auto"/>
        <w:rPr>
          <w:b/>
          <w:lang w:val="es-AR"/>
        </w:rPr>
      </w:pPr>
      <w:r w:rsidRPr="00E95008">
        <w:rPr>
          <w:b/>
          <w:lang w:val="es-MX"/>
        </w:rPr>
        <w:lastRenderedPageBreak/>
        <w:t>Cantidad de años en que cada provincia se encuentra por arriba y por debajo del promedio anual de esfuerzo fiscal en el periodo 1993-2014– PBG.</w:t>
      </w:r>
    </w:p>
    <w:p w14:paraId="1C4233D4" w14:textId="14902E80" w:rsidR="0094047B" w:rsidRDefault="00391B70" w:rsidP="008B5D7F">
      <w:pPr>
        <w:spacing w:line="240" w:lineRule="auto"/>
        <w:jc w:val="center"/>
        <w:rPr>
          <w:rFonts w:cstheme="minorHAnsi"/>
          <w:lang w:val="es-AR"/>
        </w:rPr>
      </w:pPr>
      <w:r>
        <w:rPr>
          <w:noProof/>
          <w:lang w:val="es-AR" w:eastAsia="es-AR"/>
        </w:rPr>
        <w:drawing>
          <wp:inline distT="0" distB="0" distL="0" distR="0" wp14:anchorId="7A549CEB" wp14:editId="338CC416">
            <wp:extent cx="3930732" cy="2303813"/>
            <wp:effectExtent l="0" t="0" r="12700" b="127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C3E9488" w14:textId="77777777" w:rsidR="007163AB" w:rsidRPr="004E10B7" w:rsidRDefault="007163AB" w:rsidP="008B5D7F">
      <w:pPr>
        <w:spacing w:line="240" w:lineRule="auto"/>
        <w:jc w:val="center"/>
        <w:rPr>
          <w:rFonts w:cstheme="minorHAnsi"/>
          <w:sz w:val="16"/>
          <w:szCs w:val="16"/>
          <w:lang w:val="es-AR"/>
        </w:rPr>
      </w:pPr>
      <w:r w:rsidRPr="004E10B7">
        <w:rPr>
          <w:rFonts w:cstheme="minorHAnsi"/>
          <w:sz w:val="16"/>
          <w:szCs w:val="16"/>
          <w:lang w:val="es-AR"/>
        </w:rPr>
        <w:t>Fuente: Elaboración propia.</w:t>
      </w:r>
    </w:p>
    <w:p w14:paraId="33E48A77" w14:textId="1BCB292B" w:rsidR="00B54D85" w:rsidRPr="004E10B7" w:rsidRDefault="000A2E10" w:rsidP="008B5D7F">
      <w:pPr>
        <w:spacing w:line="240" w:lineRule="auto"/>
        <w:rPr>
          <w:rFonts w:cstheme="minorHAnsi"/>
          <w:lang w:val="es-AR"/>
        </w:rPr>
      </w:pPr>
      <w:r w:rsidRPr="004E10B7">
        <w:rPr>
          <w:rFonts w:cstheme="minorHAnsi"/>
          <w:lang w:val="es-AR"/>
        </w:rPr>
        <w:t>La evolución de la capacidad fiscal de las provincias de 1993 a 2014 medida según CF2</w:t>
      </w:r>
      <w:r w:rsidRPr="004E10B7">
        <w:rPr>
          <w:rStyle w:val="Refdenotaalpie"/>
          <w:rFonts w:cstheme="minorHAnsi"/>
          <w:lang w:val="es-AR"/>
        </w:rPr>
        <w:footnoteReference w:id="7"/>
      </w:r>
      <w:r w:rsidRPr="004E10B7">
        <w:rPr>
          <w:rFonts w:cstheme="minorHAnsi"/>
          <w:lang w:val="es-AR"/>
        </w:rPr>
        <w:t xml:space="preserve"> indica que Catamarca fue la que tuvo un mayor crecimiento, del 391,9%. Le siguen Santa Cruz con un 228,1% y Neuquén con un aumento de este indicador de 202,9%. Las peores performances según este indicador de capacidad fiscal fueron las presentadas por CABA, Tucumán y La Rioja, con tasas de crecimiento de 52%, 52,7% y 55% respectivamente.</w:t>
      </w:r>
    </w:p>
    <w:p w14:paraId="3A3C66F5" w14:textId="317248D3" w:rsidR="000A2E10" w:rsidRPr="004E10B7" w:rsidRDefault="000A2E10" w:rsidP="008B5D7F">
      <w:pPr>
        <w:spacing w:line="240" w:lineRule="auto"/>
        <w:rPr>
          <w:rFonts w:cstheme="minorHAnsi"/>
          <w:lang w:val="es-AR"/>
        </w:rPr>
      </w:pPr>
      <w:r w:rsidRPr="004E10B7">
        <w:rPr>
          <w:rFonts w:cstheme="minorHAnsi"/>
          <w:lang w:val="es-AR"/>
        </w:rPr>
        <w:t>La tasa de crecimiento entre el año 1993-2014 promedio entre provincias es de 111,1%, encontrándose 7 provincias sobre este promedio, mientras que las restantes 17 se encuentran por debajo.</w:t>
      </w:r>
    </w:p>
    <w:p w14:paraId="1B69D9F6" w14:textId="452B598E" w:rsidR="00391B70" w:rsidRDefault="00391B70" w:rsidP="008B5D7F">
      <w:pPr>
        <w:spacing w:line="240" w:lineRule="auto"/>
        <w:rPr>
          <w:rFonts w:cstheme="minorHAnsi"/>
          <w:lang w:val="es-AR"/>
        </w:rPr>
      </w:pPr>
      <w:r>
        <w:rPr>
          <w:rFonts w:cstheme="minorHAnsi"/>
          <w:lang w:val="es-AR"/>
        </w:rPr>
        <w:br w:type="page"/>
      </w:r>
    </w:p>
    <w:p w14:paraId="2113B696" w14:textId="17AE06D8" w:rsidR="00B64F00" w:rsidRPr="00E95008" w:rsidRDefault="00B64F00" w:rsidP="008B5D7F">
      <w:pPr>
        <w:pStyle w:val="Prrafodelista"/>
        <w:numPr>
          <w:ilvl w:val="0"/>
          <w:numId w:val="4"/>
        </w:numPr>
        <w:spacing w:line="240" w:lineRule="auto"/>
        <w:rPr>
          <w:b/>
          <w:lang w:val="es-MX"/>
        </w:rPr>
      </w:pPr>
      <w:r w:rsidRPr="00E95008">
        <w:rPr>
          <w:b/>
          <w:lang w:val="es-AR"/>
        </w:rPr>
        <w:lastRenderedPageBreak/>
        <w:t>C</w:t>
      </w:r>
      <w:r w:rsidRPr="00E95008">
        <w:rPr>
          <w:b/>
          <w:lang w:val="es-MX"/>
        </w:rPr>
        <w:t>F por provincia y por año– PBG (Valor e Índice Base 100=1993).</w:t>
      </w:r>
    </w:p>
    <w:tbl>
      <w:tblPr>
        <w:tblW w:w="7200" w:type="dxa"/>
        <w:jc w:val="center"/>
        <w:tblCellMar>
          <w:left w:w="70" w:type="dxa"/>
          <w:right w:w="70" w:type="dxa"/>
        </w:tblCellMar>
        <w:tblLook w:val="04A0" w:firstRow="1" w:lastRow="0" w:firstColumn="1" w:lastColumn="0" w:noHBand="0" w:noVBand="1"/>
      </w:tblPr>
      <w:tblGrid>
        <w:gridCol w:w="1200"/>
        <w:gridCol w:w="1135"/>
        <w:gridCol w:w="1135"/>
        <w:gridCol w:w="1330"/>
        <w:gridCol w:w="1200"/>
        <w:gridCol w:w="1200"/>
      </w:tblGrid>
      <w:tr w:rsidR="004E10B7" w:rsidRPr="004E10B7" w14:paraId="0686F817" w14:textId="77777777" w:rsidTr="008A32EC">
        <w:trPr>
          <w:trHeight w:val="615"/>
          <w:jc w:val="center"/>
        </w:trPr>
        <w:tc>
          <w:tcPr>
            <w:tcW w:w="1200" w:type="dxa"/>
            <w:tcBorders>
              <w:top w:val="nil"/>
              <w:left w:val="nil"/>
              <w:bottom w:val="nil"/>
              <w:right w:val="nil"/>
            </w:tcBorders>
            <w:shd w:val="clear" w:color="auto" w:fill="auto"/>
            <w:noWrap/>
            <w:vAlign w:val="bottom"/>
            <w:hideMark/>
          </w:tcPr>
          <w:p w14:paraId="3211260C" w14:textId="77777777" w:rsidR="00EB081D" w:rsidRPr="004E10B7" w:rsidRDefault="00EB081D" w:rsidP="008B5D7F">
            <w:pPr>
              <w:spacing w:after="0" w:line="240" w:lineRule="auto"/>
              <w:ind w:firstLine="0"/>
              <w:jc w:val="left"/>
              <w:rPr>
                <w:rFonts w:ascii="Times New Roman" w:eastAsia="Times New Roman" w:hAnsi="Times New Roman" w:cs="Times New Roman"/>
                <w:sz w:val="24"/>
                <w:szCs w:val="24"/>
                <w:lang w:val="es-AR" w:eastAsia="es-AR"/>
              </w:rPr>
            </w:pPr>
          </w:p>
        </w:tc>
        <w:tc>
          <w:tcPr>
            <w:tcW w:w="3600"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14:paraId="56ED6D3B" w14:textId="77777777" w:rsidR="00EB081D" w:rsidRPr="004E10B7" w:rsidRDefault="00EB081D" w:rsidP="008B5D7F">
            <w:pPr>
              <w:spacing w:after="0" w:line="240" w:lineRule="auto"/>
              <w:ind w:firstLine="0"/>
              <w:jc w:val="center"/>
              <w:rPr>
                <w:rFonts w:ascii="Calibri" w:eastAsia="Times New Roman" w:hAnsi="Calibri" w:cs="Calibri"/>
                <w:lang w:val="es-AR" w:eastAsia="es-AR"/>
              </w:rPr>
            </w:pPr>
            <w:r w:rsidRPr="004E10B7">
              <w:rPr>
                <w:rFonts w:ascii="Calibri" w:eastAsia="Times New Roman" w:hAnsi="Calibri" w:cs="Calibri"/>
                <w:lang w:val="es-AR" w:eastAsia="es-AR"/>
              </w:rPr>
              <w:t xml:space="preserve">Valor </w:t>
            </w:r>
            <w:r w:rsidRPr="004E10B7">
              <w:rPr>
                <w:rFonts w:ascii="Calibri" w:eastAsia="Times New Roman" w:hAnsi="Calibri" w:cs="Calibri"/>
                <w:lang w:val="es-AR" w:eastAsia="es-AR"/>
              </w:rPr>
              <w:br/>
              <w:t>(en Millones de Pesos de 1993)</w:t>
            </w:r>
          </w:p>
        </w:tc>
        <w:tc>
          <w:tcPr>
            <w:tcW w:w="240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D844639" w14:textId="77777777" w:rsidR="00EB081D" w:rsidRPr="004E10B7" w:rsidRDefault="00EB081D" w:rsidP="008B5D7F">
            <w:pPr>
              <w:spacing w:after="0" w:line="240" w:lineRule="auto"/>
              <w:ind w:firstLine="0"/>
              <w:jc w:val="center"/>
              <w:rPr>
                <w:rFonts w:ascii="Calibri" w:eastAsia="Times New Roman" w:hAnsi="Calibri" w:cs="Calibri"/>
                <w:lang w:val="es-AR" w:eastAsia="es-AR"/>
              </w:rPr>
            </w:pPr>
            <w:r w:rsidRPr="004E10B7">
              <w:rPr>
                <w:rFonts w:ascii="Calibri" w:eastAsia="Times New Roman" w:hAnsi="Calibri" w:cs="Calibri"/>
                <w:lang w:val="es-AR" w:eastAsia="es-AR"/>
              </w:rPr>
              <w:t>Índice Base 100=1993</w:t>
            </w:r>
          </w:p>
        </w:tc>
      </w:tr>
      <w:tr w:rsidR="004E10B7" w:rsidRPr="004E10B7" w14:paraId="0A2A3F9E" w14:textId="77777777" w:rsidTr="008A32EC">
        <w:trPr>
          <w:trHeight w:val="300"/>
          <w:jc w:val="center"/>
        </w:trPr>
        <w:tc>
          <w:tcPr>
            <w:tcW w:w="1200" w:type="dxa"/>
            <w:tcBorders>
              <w:top w:val="nil"/>
              <w:left w:val="nil"/>
              <w:bottom w:val="nil"/>
              <w:right w:val="nil"/>
            </w:tcBorders>
            <w:shd w:val="clear" w:color="000000" w:fill="FFFFFF"/>
            <w:noWrap/>
            <w:vAlign w:val="bottom"/>
            <w:hideMark/>
          </w:tcPr>
          <w:p w14:paraId="02E835BE" w14:textId="77777777" w:rsidR="00EB081D" w:rsidRPr="004E10B7" w:rsidRDefault="00EB081D"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 </w:t>
            </w:r>
          </w:p>
        </w:tc>
        <w:tc>
          <w:tcPr>
            <w:tcW w:w="1135" w:type="dxa"/>
            <w:tcBorders>
              <w:top w:val="nil"/>
              <w:left w:val="single" w:sz="4" w:space="0" w:color="auto"/>
              <w:bottom w:val="single" w:sz="4" w:space="0" w:color="auto"/>
              <w:right w:val="single" w:sz="4" w:space="0" w:color="auto"/>
            </w:tcBorders>
            <w:shd w:val="clear" w:color="000000" w:fill="FFFFFF"/>
            <w:noWrap/>
            <w:vAlign w:val="bottom"/>
            <w:hideMark/>
          </w:tcPr>
          <w:p w14:paraId="21627405" w14:textId="77777777" w:rsidR="00EB081D" w:rsidRPr="004E10B7" w:rsidRDefault="00EB081D" w:rsidP="008B5D7F">
            <w:pPr>
              <w:spacing w:after="0" w:line="240" w:lineRule="auto"/>
              <w:ind w:firstLine="0"/>
              <w:jc w:val="center"/>
              <w:rPr>
                <w:rFonts w:ascii="Calibri" w:eastAsia="Times New Roman" w:hAnsi="Calibri" w:cs="Calibri"/>
                <w:lang w:val="es-AR" w:eastAsia="es-AR"/>
              </w:rPr>
            </w:pPr>
            <w:r w:rsidRPr="004E10B7">
              <w:rPr>
                <w:rFonts w:ascii="Calibri" w:eastAsia="Times New Roman" w:hAnsi="Calibri" w:cs="Calibri"/>
                <w:lang w:val="es-AR" w:eastAsia="es-AR"/>
              </w:rPr>
              <w:t>1993</w:t>
            </w:r>
          </w:p>
        </w:tc>
        <w:tc>
          <w:tcPr>
            <w:tcW w:w="1135" w:type="dxa"/>
            <w:tcBorders>
              <w:top w:val="nil"/>
              <w:left w:val="nil"/>
              <w:bottom w:val="single" w:sz="4" w:space="0" w:color="auto"/>
              <w:right w:val="single" w:sz="4" w:space="0" w:color="auto"/>
            </w:tcBorders>
            <w:shd w:val="clear" w:color="000000" w:fill="FFFFFF"/>
            <w:noWrap/>
            <w:vAlign w:val="bottom"/>
            <w:hideMark/>
          </w:tcPr>
          <w:p w14:paraId="5909ADEC" w14:textId="77777777" w:rsidR="00EB081D" w:rsidRPr="004E10B7" w:rsidRDefault="00EB081D" w:rsidP="008B5D7F">
            <w:pPr>
              <w:spacing w:after="0" w:line="240" w:lineRule="auto"/>
              <w:ind w:firstLine="0"/>
              <w:jc w:val="center"/>
              <w:rPr>
                <w:rFonts w:ascii="Calibri" w:eastAsia="Times New Roman" w:hAnsi="Calibri" w:cs="Calibri"/>
                <w:lang w:val="es-AR" w:eastAsia="es-AR"/>
              </w:rPr>
            </w:pPr>
            <w:r w:rsidRPr="004E10B7">
              <w:rPr>
                <w:rFonts w:ascii="Calibri" w:eastAsia="Times New Roman" w:hAnsi="Calibri" w:cs="Calibri"/>
                <w:lang w:val="es-AR" w:eastAsia="es-AR"/>
              </w:rPr>
              <w:t>2004</w:t>
            </w:r>
          </w:p>
        </w:tc>
        <w:tc>
          <w:tcPr>
            <w:tcW w:w="1330" w:type="dxa"/>
            <w:tcBorders>
              <w:top w:val="nil"/>
              <w:left w:val="nil"/>
              <w:bottom w:val="single" w:sz="4" w:space="0" w:color="auto"/>
              <w:right w:val="single" w:sz="4" w:space="0" w:color="auto"/>
            </w:tcBorders>
            <w:shd w:val="clear" w:color="000000" w:fill="FFFFFF"/>
            <w:noWrap/>
            <w:vAlign w:val="bottom"/>
            <w:hideMark/>
          </w:tcPr>
          <w:p w14:paraId="636219DD" w14:textId="77777777" w:rsidR="00EB081D" w:rsidRPr="004E10B7" w:rsidRDefault="00EB081D" w:rsidP="008B5D7F">
            <w:pPr>
              <w:spacing w:after="0" w:line="240" w:lineRule="auto"/>
              <w:ind w:firstLine="0"/>
              <w:jc w:val="center"/>
              <w:rPr>
                <w:rFonts w:ascii="Calibri" w:eastAsia="Times New Roman" w:hAnsi="Calibri" w:cs="Calibri"/>
                <w:lang w:val="es-AR" w:eastAsia="es-AR"/>
              </w:rPr>
            </w:pPr>
            <w:r w:rsidRPr="004E10B7">
              <w:rPr>
                <w:rFonts w:ascii="Calibri" w:eastAsia="Times New Roman" w:hAnsi="Calibri" w:cs="Calibri"/>
                <w:lang w:val="es-AR" w:eastAsia="es-AR"/>
              </w:rPr>
              <w:t>2014</w:t>
            </w:r>
          </w:p>
        </w:tc>
        <w:tc>
          <w:tcPr>
            <w:tcW w:w="1200" w:type="dxa"/>
            <w:tcBorders>
              <w:top w:val="nil"/>
              <w:left w:val="nil"/>
              <w:bottom w:val="nil"/>
              <w:right w:val="single" w:sz="4" w:space="0" w:color="auto"/>
            </w:tcBorders>
            <w:shd w:val="clear" w:color="000000" w:fill="FFFFFF"/>
            <w:noWrap/>
            <w:vAlign w:val="bottom"/>
            <w:hideMark/>
          </w:tcPr>
          <w:p w14:paraId="4587190A" w14:textId="77777777" w:rsidR="00EB081D" w:rsidRPr="004E10B7" w:rsidRDefault="00EB081D" w:rsidP="008B5D7F">
            <w:pPr>
              <w:spacing w:after="0" w:line="240" w:lineRule="auto"/>
              <w:ind w:firstLine="0"/>
              <w:jc w:val="center"/>
              <w:rPr>
                <w:rFonts w:ascii="Calibri" w:eastAsia="Times New Roman" w:hAnsi="Calibri" w:cs="Calibri"/>
                <w:lang w:val="es-AR" w:eastAsia="es-AR"/>
              </w:rPr>
            </w:pPr>
            <w:r w:rsidRPr="004E10B7">
              <w:rPr>
                <w:rFonts w:ascii="Calibri" w:eastAsia="Times New Roman" w:hAnsi="Calibri" w:cs="Calibri"/>
                <w:lang w:val="es-AR" w:eastAsia="es-AR"/>
              </w:rPr>
              <w:t>2004</w:t>
            </w:r>
          </w:p>
        </w:tc>
        <w:tc>
          <w:tcPr>
            <w:tcW w:w="1200" w:type="dxa"/>
            <w:tcBorders>
              <w:top w:val="nil"/>
              <w:left w:val="nil"/>
              <w:bottom w:val="nil"/>
              <w:right w:val="single" w:sz="4" w:space="0" w:color="auto"/>
            </w:tcBorders>
            <w:shd w:val="clear" w:color="000000" w:fill="FFFFFF"/>
            <w:noWrap/>
            <w:vAlign w:val="bottom"/>
            <w:hideMark/>
          </w:tcPr>
          <w:p w14:paraId="6AD861BB" w14:textId="77777777" w:rsidR="00EB081D" w:rsidRPr="004E10B7" w:rsidRDefault="00EB081D" w:rsidP="008B5D7F">
            <w:pPr>
              <w:spacing w:after="0" w:line="240" w:lineRule="auto"/>
              <w:ind w:firstLine="0"/>
              <w:jc w:val="center"/>
              <w:rPr>
                <w:rFonts w:ascii="Calibri" w:eastAsia="Times New Roman" w:hAnsi="Calibri" w:cs="Calibri"/>
                <w:lang w:val="es-AR" w:eastAsia="es-AR"/>
              </w:rPr>
            </w:pPr>
            <w:r w:rsidRPr="004E10B7">
              <w:rPr>
                <w:rFonts w:ascii="Calibri" w:eastAsia="Times New Roman" w:hAnsi="Calibri" w:cs="Calibri"/>
                <w:lang w:val="es-AR" w:eastAsia="es-AR"/>
              </w:rPr>
              <w:t>2014</w:t>
            </w:r>
          </w:p>
        </w:tc>
      </w:tr>
      <w:tr w:rsidR="004E10B7" w:rsidRPr="004E10B7" w14:paraId="1EC19CC4" w14:textId="77777777" w:rsidTr="008A32EC">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D74D78" w14:textId="77777777" w:rsidR="00EB081D" w:rsidRPr="004E10B7" w:rsidRDefault="00EB081D"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CABA</w:t>
            </w:r>
          </w:p>
        </w:tc>
        <w:tc>
          <w:tcPr>
            <w:tcW w:w="1135" w:type="dxa"/>
            <w:tcBorders>
              <w:top w:val="nil"/>
              <w:left w:val="nil"/>
              <w:bottom w:val="single" w:sz="4" w:space="0" w:color="auto"/>
              <w:right w:val="single" w:sz="4" w:space="0" w:color="auto"/>
            </w:tcBorders>
            <w:shd w:val="clear" w:color="000000" w:fill="FFFFFF"/>
            <w:noWrap/>
            <w:vAlign w:val="bottom"/>
            <w:hideMark/>
          </w:tcPr>
          <w:p w14:paraId="0BC3A97F"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52.602</w:t>
            </w:r>
          </w:p>
        </w:tc>
        <w:tc>
          <w:tcPr>
            <w:tcW w:w="1135" w:type="dxa"/>
            <w:tcBorders>
              <w:top w:val="nil"/>
              <w:left w:val="nil"/>
              <w:bottom w:val="single" w:sz="4" w:space="0" w:color="auto"/>
              <w:right w:val="single" w:sz="4" w:space="0" w:color="auto"/>
            </w:tcBorders>
            <w:shd w:val="clear" w:color="000000" w:fill="FFFFFF"/>
            <w:noWrap/>
            <w:vAlign w:val="bottom"/>
            <w:hideMark/>
          </w:tcPr>
          <w:p w14:paraId="6C4A29C0"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56.883</w:t>
            </w:r>
          </w:p>
        </w:tc>
        <w:tc>
          <w:tcPr>
            <w:tcW w:w="1330" w:type="dxa"/>
            <w:tcBorders>
              <w:top w:val="nil"/>
              <w:left w:val="nil"/>
              <w:bottom w:val="single" w:sz="4" w:space="0" w:color="auto"/>
              <w:right w:val="single" w:sz="4" w:space="0" w:color="auto"/>
            </w:tcBorders>
            <w:shd w:val="clear" w:color="000000" w:fill="FFFFFF"/>
            <w:noWrap/>
            <w:vAlign w:val="bottom"/>
            <w:hideMark/>
          </w:tcPr>
          <w:p w14:paraId="7430A8ED"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79.970</w:t>
            </w:r>
          </w:p>
        </w:tc>
        <w:tc>
          <w:tcPr>
            <w:tcW w:w="1200" w:type="dxa"/>
            <w:tcBorders>
              <w:top w:val="single" w:sz="4" w:space="0" w:color="auto"/>
              <w:left w:val="nil"/>
              <w:bottom w:val="single" w:sz="4" w:space="0" w:color="auto"/>
              <w:right w:val="single" w:sz="4" w:space="0" w:color="auto"/>
            </w:tcBorders>
            <w:shd w:val="clear" w:color="000000" w:fill="FFFFFF"/>
            <w:noWrap/>
            <w:vAlign w:val="bottom"/>
            <w:hideMark/>
          </w:tcPr>
          <w:p w14:paraId="09CD87CF"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108,14</w:t>
            </w:r>
          </w:p>
        </w:tc>
        <w:tc>
          <w:tcPr>
            <w:tcW w:w="1200" w:type="dxa"/>
            <w:tcBorders>
              <w:top w:val="single" w:sz="4" w:space="0" w:color="auto"/>
              <w:left w:val="nil"/>
              <w:bottom w:val="single" w:sz="4" w:space="0" w:color="auto"/>
              <w:right w:val="single" w:sz="4" w:space="0" w:color="auto"/>
            </w:tcBorders>
            <w:shd w:val="clear" w:color="000000" w:fill="FFFFFF"/>
            <w:noWrap/>
            <w:vAlign w:val="bottom"/>
            <w:hideMark/>
          </w:tcPr>
          <w:p w14:paraId="2CDFBF7B"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152,03</w:t>
            </w:r>
          </w:p>
        </w:tc>
      </w:tr>
      <w:tr w:rsidR="004E10B7" w:rsidRPr="004E10B7" w14:paraId="19B1878D" w14:textId="77777777" w:rsidTr="008A32EC">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14:paraId="04A7BED5" w14:textId="77777777" w:rsidR="00EB081D" w:rsidRPr="004E10B7" w:rsidRDefault="00EB081D"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Bs As</w:t>
            </w:r>
          </w:p>
        </w:tc>
        <w:tc>
          <w:tcPr>
            <w:tcW w:w="1135" w:type="dxa"/>
            <w:tcBorders>
              <w:top w:val="nil"/>
              <w:left w:val="nil"/>
              <w:bottom w:val="single" w:sz="4" w:space="0" w:color="auto"/>
              <w:right w:val="single" w:sz="4" w:space="0" w:color="auto"/>
            </w:tcBorders>
            <w:shd w:val="clear" w:color="000000" w:fill="FFFFFF"/>
            <w:noWrap/>
            <w:vAlign w:val="bottom"/>
            <w:hideMark/>
          </w:tcPr>
          <w:p w14:paraId="3250AAA0"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75.542</w:t>
            </w:r>
          </w:p>
        </w:tc>
        <w:tc>
          <w:tcPr>
            <w:tcW w:w="1135" w:type="dxa"/>
            <w:tcBorders>
              <w:top w:val="nil"/>
              <w:left w:val="nil"/>
              <w:bottom w:val="single" w:sz="4" w:space="0" w:color="auto"/>
              <w:right w:val="single" w:sz="4" w:space="0" w:color="auto"/>
            </w:tcBorders>
            <w:shd w:val="clear" w:color="000000" w:fill="FFFFFF"/>
            <w:noWrap/>
            <w:vAlign w:val="bottom"/>
            <w:hideMark/>
          </w:tcPr>
          <w:p w14:paraId="5BAE8D45"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90.003</w:t>
            </w:r>
          </w:p>
        </w:tc>
        <w:tc>
          <w:tcPr>
            <w:tcW w:w="1330" w:type="dxa"/>
            <w:tcBorders>
              <w:top w:val="nil"/>
              <w:left w:val="nil"/>
              <w:bottom w:val="single" w:sz="4" w:space="0" w:color="auto"/>
              <w:right w:val="single" w:sz="4" w:space="0" w:color="auto"/>
            </w:tcBorders>
            <w:shd w:val="clear" w:color="000000" w:fill="FFFFFF"/>
            <w:noWrap/>
            <w:vAlign w:val="bottom"/>
            <w:hideMark/>
          </w:tcPr>
          <w:p w14:paraId="526E8567"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132.428</w:t>
            </w:r>
          </w:p>
        </w:tc>
        <w:tc>
          <w:tcPr>
            <w:tcW w:w="1200" w:type="dxa"/>
            <w:tcBorders>
              <w:top w:val="nil"/>
              <w:left w:val="nil"/>
              <w:bottom w:val="single" w:sz="4" w:space="0" w:color="auto"/>
              <w:right w:val="single" w:sz="4" w:space="0" w:color="auto"/>
            </w:tcBorders>
            <w:shd w:val="clear" w:color="000000" w:fill="FFFFFF"/>
            <w:noWrap/>
            <w:vAlign w:val="bottom"/>
            <w:hideMark/>
          </w:tcPr>
          <w:p w14:paraId="7500AB7D"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119,14</w:t>
            </w:r>
          </w:p>
        </w:tc>
        <w:tc>
          <w:tcPr>
            <w:tcW w:w="1200" w:type="dxa"/>
            <w:tcBorders>
              <w:top w:val="nil"/>
              <w:left w:val="nil"/>
              <w:bottom w:val="single" w:sz="4" w:space="0" w:color="auto"/>
              <w:right w:val="single" w:sz="4" w:space="0" w:color="auto"/>
            </w:tcBorders>
            <w:shd w:val="clear" w:color="000000" w:fill="FFFFFF"/>
            <w:noWrap/>
            <w:vAlign w:val="bottom"/>
            <w:hideMark/>
          </w:tcPr>
          <w:p w14:paraId="35BFC9E8"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175,30</w:t>
            </w:r>
          </w:p>
        </w:tc>
      </w:tr>
      <w:tr w:rsidR="004E10B7" w:rsidRPr="004E10B7" w14:paraId="66D08C3F" w14:textId="77777777" w:rsidTr="008A32EC">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14:paraId="4AA9DD86" w14:textId="77777777" w:rsidR="00EB081D" w:rsidRPr="004E10B7" w:rsidRDefault="00EB081D"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Catam.</w:t>
            </w:r>
          </w:p>
        </w:tc>
        <w:tc>
          <w:tcPr>
            <w:tcW w:w="1135" w:type="dxa"/>
            <w:tcBorders>
              <w:top w:val="nil"/>
              <w:left w:val="nil"/>
              <w:bottom w:val="single" w:sz="4" w:space="0" w:color="auto"/>
              <w:right w:val="single" w:sz="4" w:space="0" w:color="auto"/>
            </w:tcBorders>
            <w:shd w:val="clear" w:color="000000" w:fill="FFFFFF"/>
            <w:noWrap/>
            <w:vAlign w:val="bottom"/>
            <w:hideMark/>
          </w:tcPr>
          <w:p w14:paraId="71A44B72"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1.161</w:t>
            </w:r>
          </w:p>
        </w:tc>
        <w:tc>
          <w:tcPr>
            <w:tcW w:w="1135" w:type="dxa"/>
            <w:tcBorders>
              <w:top w:val="nil"/>
              <w:left w:val="nil"/>
              <w:bottom w:val="single" w:sz="4" w:space="0" w:color="auto"/>
              <w:right w:val="single" w:sz="4" w:space="0" w:color="auto"/>
            </w:tcBorders>
            <w:shd w:val="clear" w:color="000000" w:fill="FFFFFF"/>
            <w:noWrap/>
            <w:vAlign w:val="bottom"/>
            <w:hideMark/>
          </w:tcPr>
          <w:p w14:paraId="46EF5896"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3.367</w:t>
            </w:r>
          </w:p>
        </w:tc>
        <w:tc>
          <w:tcPr>
            <w:tcW w:w="1330" w:type="dxa"/>
            <w:tcBorders>
              <w:top w:val="nil"/>
              <w:left w:val="nil"/>
              <w:bottom w:val="single" w:sz="4" w:space="0" w:color="auto"/>
              <w:right w:val="single" w:sz="4" w:space="0" w:color="auto"/>
            </w:tcBorders>
            <w:shd w:val="clear" w:color="000000" w:fill="FFFFFF"/>
            <w:noWrap/>
            <w:vAlign w:val="bottom"/>
            <w:hideMark/>
          </w:tcPr>
          <w:p w14:paraId="67265C37"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5.709</w:t>
            </w:r>
          </w:p>
        </w:tc>
        <w:tc>
          <w:tcPr>
            <w:tcW w:w="1200" w:type="dxa"/>
            <w:tcBorders>
              <w:top w:val="nil"/>
              <w:left w:val="nil"/>
              <w:bottom w:val="single" w:sz="4" w:space="0" w:color="auto"/>
              <w:right w:val="single" w:sz="4" w:space="0" w:color="auto"/>
            </w:tcBorders>
            <w:shd w:val="clear" w:color="000000" w:fill="FFFFFF"/>
            <w:noWrap/>
            <w:vAlign w:val="bottom"/>
            <w:hideMark/>
          </w:tcPr>
          <w:p w14:paraId="45AC8F22"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290,11</w:t>
            </w:r>
          </w:p>
        </w:tc>
        <w:tc>
          <w:tcPr>
            <w:tcW w:w="1200" w:type="dxa"/>
            <w:tcBorders>
              <w:top w:val="nil"/>
              <w:left w:val="nil"/>
              <w:bottom w:val="single" w:sz="4" w:space="0" w:color="auto"/>
              <w:right w:val="single" w:sz="4" w:space="0" w:color="auto"/>
            </w:tcBorders>
            <w:shd w:val="clear" w:color="000000" w:fill="FFFFFF"/>
            <w:noWrap/>
            <w:vAlign w:val="bottom"/>
            <w:hideMark/>
          </w:tcPr>
          <w:p w14:paraId="07FBED70"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491,92</w:t>
            </w:r>
          </w:p>
        </w:tc>
      </w:tr>
      <w:tr w:rsidR="004E10B7" w:rsidRPr="004E10B7" w14:paraId="11CAFE01" w14:textId="77777777" w:rsidTr="008A32EC">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14:paraId="69A12D51" w14:textId="77777777" w:rsidR="00EB081D" w:rsidRPr="004E10B7" w:rsidRDefault="00EB081D"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Cba</w:t>
            </w:r>
          </w:p>
        </w:tc>
        <w:tc>
          <w:tcPr>
            <w:tcW w:w="1135" w:type="dxa"/>
            <w:tcBorders>
              <w:top w:val="nil"/>
              <w:left w:val="nil"/>
              <w:bottom w:val="single" w:sz="4" w:space="0" w:color="auto"/>
              <w:right w:val="single" w:sz="4" w:space="0" w:color="auto"/>
            </w:tcBorders>
            <w:shd w:val="clear" w:color="000000" w:fill="FFFFFF"/>
            <w:noWrap/>
            <w:vAlign w:val="bottom"/>
            <w:hideMark/>
          </w:tcPr>
          <w:p w14:paraId="675473DC"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17.386</w:t>
            </w:r>
          </w:p>
        </w:tc>
        <w:tc>
          <w:tcPr>
            <w:tcW w:w="1135" w:type="dxa"/>
            <w:tcBorders>
              <w:top w:val="nil"/>
              <w:left w:val="nil"/>
              <w:bottom w:val="single" w:sz="4" w:space="0" w:color="auto"/>
              <w:right w:val="single" w:sz="4" w:space="0" w:color="auto"/>
            </w:tcBorders>
            <w:shd w:val="clear" w:color="000000" w:fill="FFFFFF"/>
            <w:noWrap/>
            <w:vAlign w:val="bottom"/>
            <w:hideMark/>
          </w:tcPr>
          <w:p w14:paraId="2DEDAD4B"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21.573</w:t>
            </w:r>
          </w:p>
        </w:tc>
        <w:tc>
          <w:tcPr>
            <w:tcW w:w="1330" w:type="dxa"/>
            <w:tcBorders>
              <w:top w:val="nil"/>
              <w:left w:val="nil"/>
              <w:bottom w:val="single" w:sz="4" w:space="0" w:color="auto"/>
              <w:right w:val="single" w:sz="4" w:space="0" w:color="auto"/>
            </w:tcBorders>
            <w:shd w:val="clear" w:color="000000" w:fill="FFFFFF"/>
            <w:noWrap/>
            <w:vAlign w:val="bottom"/>
            <w:hideMark/>
          </w:tcPr>
          <w:p w14:paraId="121DDF14"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30.216</w:t>
            </w:r>
          </w:p>
        </w:tc>
        <w:tc>
          <w:tcPr>
            <w:tcW w:w="1200" w:type="dxa"/>
            <w:tcBorders>
              <w:top w:val="nil"/>
              <w:left w:val="nil"/>
              <w:bottom w:val="single" w:sz="4" w:space="0" w:color="auto"/>
              <w:right w:val="single" w:sz="4" w:space="0" w:color="auto"/>
            </w:tcBorders>
            <w:shd w:val="clear" w:color="000000" w:fill="FFFFFF"/>
            <w:noWrap/>
            <w:vAlign w:val="bottom"/>
            <w:hideMark/>
          </w:tcPr>
          <w:p w14:paraId="1F03CB06"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124,08</w:t>
            </w:r>
          </w:p>
        </w:tc>
        <w:tc>
          <w:tcPr>
            <w:tcW w:w="1200" w:type="dxa"/>
            <w:tcBorders>
              <w:top w:val="nil"/>
              <w:left w:val="nil"/>
              <w:bottom w:val="single" w:sz="4" w:space="0" w:color="auto"/>
              <w:right w:val="single" w:sz="4" w:space="0" w:color="auto"/>
            </w:tcBorders>
            <w:shd w:val="clear" w:color="000000" w:fill="FFFFFF"/>
            <w:noWrap/>
            <w:vAlign w:val="bottom"/>
            <w:hideMark/>
          </w:tcPr>
          <w:p w14:paraId="6F9066F7"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173,79</w:t>
            </w:r>
          </w:p>
        </w:tc>
      </w:tr>
      <w:tr w:rsidR="004E10B7" w:rsidRPr="004E10B7" w14:paraId="356C799F" w14:textId="77777777" w:rsidTr="008A32EC">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14:paraId="337F31F9" w14:textId="77777777" w:rsidR="00EB081D" w:rsidRPr="004E10B7" w:rsidRDefault="00EB081D"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Corri.</w:t>
            </w:r>
          </w:p>
        </w:tc>
        <w:tc>
          <w:tcPr>
            <w:tcW w:w="1135" w:type="dxa"/>
            <w:tcBorders>
              <w:top w:val="nil"/>
              <w:left w:val="nil"/>
              <w:bottom w:val="single" w:sz="4" w:space="0" w:color="auto"/>
              <w:right w:val="single" w:sz="4" w:space="0" w:color="auto"/>
            </w:tcBorders>
            <w:shd w:val="clear" w:color="000000" w:fill="FFFFFF"/>
            <w:noWrap/>
            <w:vAlign w:val="bottom"/>
            <w:hideMark/>
          </w:tcPr>
          <w:p w14:paraId="31ACED7B"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2.962</w:t>
            </w:r>
          </w:p>
        </w:tc>
        <w:tc>
          <w:tcPr>
            <w:tcW w:w="1135" w:type="dxa"/>
            <w:tcBorders>
              <w:top w:val="nil"/>
              <w:left w:val="nil"/>
              <w:bottom w:val="single" w:sz="4" w:space="0" w:color="auto"/>
              <w:right w:val="single" w:sz="4" w:space="0" w:color="auto"/>
            </w:tcBorders>
            <w:shd w:val="clear" w:color="000000" w:fill="FFFFFF"/>
            <w:noWrap/>
            <w:vAlign w:val="bottom"/>
            <w:hideMark/>
          </w:tcPr>
          <w:p w14:paraId="521F6139"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3.016</w:t>
            </w:r>
          </w:p>
        </w:tc>
        <w:tc>
          <w:tcPr>
            <w:tcW w:w="1330" w:type="dxa"/>
            <w:tcBorders>
              <w:top w:val="nil"/>
              <w:left w:val="nil"/>
              <w:bottom w:val="single" w:sz="4" w:space="0" w:color="auto"/>
              <w:right w:val="single" w:sz="4" w:space="0" w:color="auto"/>
            </w:tcBorders>
            <w:shd w:val="clear" w:color="000000" w:fill="FFFFFF"/>
            <w:noWrap/>
            <w:vAlign w:val="bottom"/>
            <w:hideMark/>
          </w:tcPr>
          <w:p w14:paraId="18E1A3DF"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4.920</w:t>
            </w:r>
          </w:p>
        </w:tc>
        <w:tc>
          <w:tcPr>
            <w:tcW w:w="1200" w:type="dxa"/>
            <w:tcBorders>
              <w:top w:val="nil"/>
              <w:left w:val="nil"/>
              <w:bottom w:val="single" w:sz="4" w:space="0" w:color="auto"/>
              <w:right w:val="single" w:sz="4" w:space="0" w:color="auto"/>
            </w:tcBorders>
            <w:shd w:val="clear" w:color="000000" w:fill="FFFFFF"/>
            <w:noWrap/>
            <w:vAlign w:val="bottom"/>
            <w:hideMark/>
          </w:tcPr>
          <w:p w14:paraId="23586586"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101,82</w:t>
            </w:r>
          </w:p>
        </w:tc>
        <w:tc>
          <w:tcPr>
            <w:tcW w:w="1200" w:type="dxa"/>
            <w:tcBorders>
              <w:top w:val="nil"/>
              <w:left w:val="nil"/>
              <w:bottom w:val="single" w:sz="4" w:space="0" w:color="auto"/>
              <w:right w:val="single" w:sz="4" w:space="0" w:color="auto"/>
            </w:tcBorders>
            <w:shd w:val="clear" w:color="000000" w:fill="FFFFFF"/>
            <w:noWrap/>
            <w:vAlign w:val="bottom"/>
            <w:hideMark/>
          </w:tcPr>
          <w:p w14:paraId="113B9269"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166,10</w:t>
            </w:r>
          </w:p>
        </w:tc>
      </w:tr>
      <w:tr w:rsidR="004E10B7" w:rsidRPr="004E10B7" w14:paraId="7BDE3872" w14:textId="77777777" w:rsidTr="008A32EC">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14:paraId="1D829A70" w14:textId="77777777" w:rsidR="00EB081D" w:rsidRPr="004E10B7" w:rsidRDefault="00EB081D"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Chaco</w:t>
            </w:r>
          </w:p>
        </w:tc>
        <w:tc>
          <w:tcPr>
            <w:tcW w:w="1135" w:type="dxa"/>
            <w:tcBorders>
              <w:top w:val="nil"/>
              <w:left w:val="nil"/>
              <w:bottom w:val="single" w:sz="4" w:space="0" w:color="auto"/>
              <w:right w:val="single" w:sz="4" w:space="0" w:color="auto"/>
            </w:tcBorders>
            <w:shd w:val="clear" w:color="000000" w:fill="FFFFFF"/>
            <w:noWrap/>
            <w:vAlign w:val="bottom"/>
            <w:hideMark/>
          </w:tcPr>
          <w:p w14:paraId="366B6DB7"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2.771</w:t>
            </w:r>
          </w:p>
        </w:tc>
        <w:tc>
          <w:tcPr>
            <w:tcW w:w="1135" w:type="dxa"/>
            <w:tcBorders>
              <w:top w:val="nil"/>
              <w:left w:val="nil"/>
              <w:bottom w:val="single" w:sz="4" w:space="0" w:color="auto"/>
              <w:right w:val="single" w:sz="4" w:space="0" w:color="auto"/>
            </w:tcBorders>
            <w:shd w:val="clear" w:color="000000" w:fill="FFFFFF"/>
            <w:noWrap/>
            <w:vAlign w:val="bottom"/>
            <w:hideMark/>
          </w:tcPr>
          <w:p w14:paraId="525CD3B4"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3.168</w:t>
            </w:r>
          </w:p>
        </w:tc>
        <w:tc>
          <w:tcPr>
            <w:tcW w:w="1330" w:type="dxa"/>
            <w:tcBorders>
              <w:top w:val="nil"/>
              <w:left w:val="nil"/>
              <w:bottom w:val="single" w:sz="4" w:space="0" w:color="auto"/>
              <w:right w:val="single" w:sz="4" w:space="0" w:color="auto"/>
            </w:tcBorders>
            <w:shd w:val="clear" w:color="000000" w:fill="FFFFFF"/>
            <w:noWrap/>
            <w:vAlign w:val="bottom"/>
            <w:hideMark/>
          </w:tcPr>
          <w:p w14:paraId="4E329282"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6.012</w:t>
            </w:r>
          </w:p>
        </w:tc>
        <w:tc>
          <w:tcPr>
            <w:tcW w:w="1200" w:type="dxa"/>
            <w:tcBorders>
              <w:top w:val="nil"/>
              <w:left w:val="nil"/>
              <w:bottom w:val="single" w:sz="4" w:space="0" w:color="auto"/>
              <w:right w:val="single" w:sz="4" w:space="0" w:color="auto"/>
            </w:tcBorders>
            <w:shd w:val="clear" w:color="000000" w:fill="FFFFFF"/>
            <w:noWrap/>
            <w:vAlign w:val="bottom"/>
            <w:hideMark/>
          </w:tcPr>
          <w:p w14:paraId="052B5135"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114,33</w:t>
            </w:r>
          </w:p>
        </w:tc>
        <w:tc>
          <w:tcPr>
            <w:tcW w:w="1200" w:type="dxa"/>
            <w:tcBorders>
              <w:top w:val="nil"/>
              <w:left w:val="nil"/>
              <w:bottom w:val="single" w:sz="4" w:space="0" w:color="auto"/>
              <w:right w:val="single" w:sz="4" w:space="0" w:color="auto"/>
            </w:tcBorders>
            <w:shd w:val="clear" w:color="000000" w:fill="FFFFFF"/>
            <w:noWrap/>
            <w:vAlign w:val="bottom"/>
            <w:hideMark/>
          </w:tcPr>
          <w:p w14:paraId="69D718C5"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216,98</w:t>
            </w:r>
          </w:p>
        </w:tc>
      </w:tr>
      <w:tr w:rsidR="004E10B7" w:rsidRPr="004E10B7" w14:paraId="7EC856EE" w14:textId="77777777" w:rsidTr="008A32EC">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14:paraId="1728696C" w14:textId="77777777" w:rsidR="00EB081D" w:rsidRPr="004E10B7" w:rsidRDefault="00EB081D"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Chubut</w:t>
            </w:r>
          </w:p>
        </w:tc>
        <w:tc>
          <w:tcPr>
            <w:tcW w:w="1135" w:type="dxa"/>
            <w:tcBorders>
              <w:top w:val="nil"/>
              <w:left w:val="nil"/>
              <w:bottom w:val="single" w:sz="4" w:space="0" w:color="auto"/>
              <w:right w:val="single" w:sz="4" w:space="0" w:color="auto"/>
            </w:tcBorders>
            <w:shd w:val="clear" w:color="000000" w:fill="FFFFFF"/>
            <w:noWrap/>
            <w:vAlign w:val="bottom"/>
            <w:hideMark/>
          </w:tcPr>
          <w:p w14:paraId="04611F64"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2.862</w:t>
            </w:r>
          </w:p>
        </w:tc>
        <w:tc>
          <w:tcPr>
            <w:tcW w:w="1135" w:type="dxa"/>
            <w:tcBorders>
              <w:top w:val="nil"/>
              <w:left w:val="nil"/>
              <w:bottom w:val="single" w:sz="4" w:space="0" w:color="auto"/>
              <w:right w:val="single" w:sz="4" w:space="0" w:color="auto"/>
            </w:tcBorders>
            <w:shd w:val="clear" w:color="000000" w:fill="FFFFFF"/>
            <w:noWrap/>
            <w:vAlign w:val="bottom"/>
            <w:hideMark/>
          </w:tcPr>
          <w:p w14:paraId="1CFDF9ED"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5.219</w:t>
            </w:r>
          </w:p>
        </w:tc>
        <w:tc>
          <w:tcPr>
            <w:tcW w:w="1330" w:type="dxa"/>
            <w:tcBorders>
              <w:top w:val="nil"/>
              <w:left w:val="nil"/>
              <w:bottom w:val="single" w:sz="4" w:space="0" w:color="auto"/>
              <w:right w:val="single" w:sz="4" w:space="0" w:color="auto"/>
            </w:tcBorders>
            <w:shd w:val="clear" w:color="000000" w:fill="FFFFFF"/>
            <w:noWrap/>
            <w:vAlign w:val="bottom"/>
            <w:hideMark/>
          </w:tcPr>
          <w:p w14:paraId="5669AE39"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7.400</w:t>
            </w:r>
          </w:p>
        </w:tc>
        <w:tc>
          <w:tcPr>
            <w:tcW w:w="1200" w:type="dxa"/>
            <w:tcBorders>
              <w:top w:val="nil"/>
              <w:left w:val="nil"/>
              <w:bottom w:val="single" w:sz="4" w:space="0" w:color="auto"/>
              <w:right w:val="single" w:sz="4" w:space="0" w:color="auto"/>
            </w:tcBorders>
            <w:shd w:val="clear" w:color="000000" w:fill="FFFFFF"/>
            <w:noWrap/>
            <w:vAlign w:val="bottom"/>
            <w:hideMark/>
          </w:tcPr>
          <w:p w14:paraId="2F4D923B"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182,39</w:t>
            </w:r>
          </w:p>
        </w:tc>
        <w:tc>
          <w:tcPr>
            <w:tcW w:w="1200" w:type="dxa"/>
            <w:tcBorders>
              <w:top w:val="nil"/>
              <w:left w:val="nil"/>
              <w:bottom w:val="single" w:sz="4" w:space="0" w:color="auto"/>
              <w:right w:val="single" w:sz="4" w:space="0" w:color="auto"/>
            </w:tcBorders>
            <w:shd w:val="clear" w:color="000000" w:fill="FFFFFF"/>
            <w:noWrap/>
            <w:vAlign w:val="bottom"/>
            <w:hideMark/>
          </w:tcPr>
          <w:p w14:paraId="4DEFACE3"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258,60</w:t>
            </w:r>
          </w:p>
        </w:tc>
      </w:tr>
      <w:tr w:rsidR="004E10B7" w:rsidRPr="004E10B7" w14:paraId="4FE2852C" w14:textId="77777777" w:rsidTr="008A32EC">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14:paraId="66BBD9D3" w14:textId="77777777" w:rsidR="00EB081D" w:rsidRPr="004E10B7" w:rsidRDefault="00EB081D"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Entre R.</w:t>
            </w:r>
          </w:p>
        </w:tc>
        <w:tc>
          <w:tcPr>
            <w:tcW w:w="1135" w:type="dxa"/>
            <w:tcBorders>
              <w:top w:val="nil"/>
              <w:left w:val="nil"/>
              <w:bottom w:val="single" w:sz="4" w:space="0" w:color="auto"/>
              <w:right w:val="single" w:sz="4" w:space="0" w:color="auto"/>
            </w:tcBorders>
            <w:shd w:val="clear" w:color="000000" w:fill="FFFFFF"/>
            <w:noWrap/>
            <w:vAlign w:val="bottom"/>
            <w:hideMark/>
          </w:tcPr>
          <w:p w14:paraId="4FA06D1C"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4.759</w:t>
            </w:r>
          </w:p>
        </w:tc>
        <w:tc>
          <w:tcPr>
            <w:tcW w:w="1135" w:type="dxa"/>
            <w:tcBorders>
              <w:top w:val="nil"/>
              <w:left w:val="nil"/>
              <w:bottom w:val="single" w:sz="4" w:space="0" w:color="auto"/>
              <w:right w:val="single" w:sz="4" w:space="0" w:color="auto"/>
            </w:tcBorders>
            <w:shd w:val="clear" w:color="000000" w:fill="FFFFFF"/>
            <w:noWrap/>
            <w:vAlign w:val="bottom"/>
            <w:hideMark/>
          </w:tcPr>
          <w:p w14:paraId="5886B5DE"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5.371</w:t>
            </w:r>
          </w:p>
        </w:tc>
        <w:tc>
          <w:tcPr>
            <w:tcW w:w="1330" w:type="dxa"/>
            <w:tcBorders>
              <w:top w:val="nil"/>
              <w:left w:val="nil"/>
              <w:bottom w:val="single" w:sz="4" w:space="0" w:color="auto"/>
              <w:right w:val="single" w:sz="4" w:space="0" w:color="auto"/>
            </w:tcBorders>
            <w:shd w:val="clear" w:color="000000" w:fill="FFFFFF"/>
            <w:noWrap/>
            <w:vAlign w:val="bottom"/>
            <w:hideMark/>
          </w:tcPr>
          <w:p w14:paraId="42FBF8AA"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8.464</w:t>
            </w:r>
          </w:p>
        </w:tc>
        <w:tc>
          <w:tcPr>
            <w:tcW w:w="1200" w:type="dxa"/>
            <w:tcBorders>
              <w:top w:val="nil"/>
              <w:left w:val="nil"/>
              <w:bottom w:val="single" w:sz="4" w:space="0" w:color="auto"/>
              <w:right w:val="single" w:sz="4" w:space="0" w:color="auto"/>
            </w:tcBorders>
            <w:shd w:val="clear" w:color="000000" w:fill="FFFFFF"/>
            <w:noWrap/>
            <w:vAlign w:val="bottom"/>
            <w:hideMark/>
          </w:tcPr>
          <w:p w14:paraId="577F64A1"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112,87</w:t>
            </w:r>
          </w:p>
        </w:tc>
        <w:tc>
          <w:tcPr>
            <w:tcW w:w="1200" w:type="dxa"/>
            <w:tcBorders>
              <w:top w:val="nil"/>
              <w:left w:val="nil"/>
              <w:bottom w:val="single" w:sz="4" w:space="0" w:color="auto"/>
              <w:right w:val="single" w:sz="4" w:space="0" w:color="auto"/>
            </w:tcBorders>
            <w:shd w:val="clear" w:color="000000" w:fill="FFFFFF"/>
            <w:noWrap/>
            <w:vAlign w:val="bottom"/>
            <w:hideMark/>
          </w:tcPr>
          <w:p w14:paraId="4D444A48"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177,85</w:t>
            </w:r>
          </w:p>
        </w:tc>
      </w:tr>
      <w:tr w:rsidR="004E10B7" w:rsidRPr="004E10B7" w14:paraId="2A236A9B" w14:textId="77777777" w:rsidTr="008A32EC">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14:paraId="401BBABB" w14:textId="77777777" w:rsidR="00EB081D" w:rsidRPr="004E10B7" w:rsidRDefault="00EB081D"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Form.</w:t>
            </w:r>
          </w:p>
        </w:tc>
        <w:tc>
          <w:tcPr>
            <w:tcW w:w="1135" w:type="dxa"/>
            <w:tcBorders>
              <w:top w:val="nil"/>
              <w:left w:val="nil"/>
              <w:bottom w:val="single" w:sz="4" w:space="0" w:color="auto"/>
              <w:right w:val="single" w:sz="4" w:space="0" w:color="auto"/>
            </w:tcBorders>
            <w:shd w:val="clear" w:color="000000" w:fill="FFFFFF"/>
            <w:noWrap/>
            <w:vAlign w:val="bottom"/>
            <w:hideMark/>
          </w:tcPr>
          <w:p w14:paraId="02D7784C"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1.286</w:t>
            </w:r>
          </w:p>
        </w:tc>
        <w:tc>
          <w:tcPr>
            <w:tcW w:w="1135" w:type="dxa"/>
            <w:tcBorders>
              <w:top w:val="nil"/>
              <w:left w:val="nil"/>
              <w:bottom w:val="single" w:sz="4" w:space="0" w:color="auto"/>
              <w:right w:val="single" w:sz="4" w:space="0" w:color="auto"/>
            </w:tcBorders>
            <w:shd w:val="clear" w:color="000000" w:fill="FFFFFF"/>
            <w:noWrap/>
            <w:vAlign w:val="bottom"/>
            <w:hideMark/>
          </w:tcPr>
          <w:p w14:paraId="1F2E9F5A"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1.326</w:t>
            </w:r>
          </w:p>
        </w:tc>
        <w:tc>
          <w:tcPr>
            <w:tcW w:w="1330" w:type="dxa"/>
            <w:tcBorders>
              <w:top w:val="nil"/>
              <w:left w:val="nil"/>
              <w:bottom w:val="single" w:sz="4" w:space="0" w:color="auto"/>
              <w:right w:val="single" w:sz="4" w:space="0" w:color="auto"/>
            </w:tcBorders>
            <w:shd w:val="clear" w:color="000000" w:fill="FFFFFF"/>
            <w:noWrap/>
            <w:vAlign w:val="bottom"/>
            <w:hideMark/>
          </w:tcPr>
          <w:p w14:paraId="5AA40BD3"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2.477</w:t>
            </w:r>
          </w:p>
        </w:tc>
        <w:tc>
          <w:tcPr>
            <w:tcW w:w="1200" w:type="dxa"/>
            <w:tcBorders>
              <w:top w:val="nil"/>
              <w:left w:val="nil"/>
              <w:bottom w:val="single" w:sz="4" w:space="0" w:color="auto"/>
              <w:right w:val="single" w:sz="4" w:space="0" w:color="auto"/>
            </w:tcBorders>
            <w:shd w:val="clear" w:color="000000" w:fill="FFFFFF"/>
            <w:noWrap/>
            <w:vAlign w:val="bottom"/>
            <w:hideMark/>
          </w:tcPr>
          <w:p w14:paraId="62667D1C"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103,15</w:t>
            </w:r>
          </w:p>
        </w:tc>
        <w:tc>
          <w:tcPr>
            <w:tcW w:w="1200" w:type="dxa"/>
            <w:tcBorders>
              <w:top w:val="nil"/>
              <w:left w:val="nil"/>
              <w:bottom w:val="single" w:sz="4" w:space="0" w:color="auto"/>
              <w:right w:val="single" w:sz="4" w:space="0" w:color="auto"/>
            </w:tcBorders>
            <w:shd w:val="clear" w:color="000000" w:fill="FFFFFF"/>
            <w:noWrap/>
            <w:vAlign w:val="bottom"/>
            <w:hideMark/>
          </w:tcPr>
          <w:p w14:paraId="10DA84C0"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192,70</w:t>
            </w:r>
          </w:p>
        </w:tc>
      </w:tr>
      <w:tr w:rsidR="004E10B7" w:rsidRPr="004E10B7" w14:paraId="61686501" w14:textId="77777777" w:rsidTr="008A32EC">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14:paraId="2BBD8045" w14:textId="77777777" w:rsidR="00EB081D" w:rsidRPr="004E10B7" w:rsidRDefault="00EB081D"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Jujuy</w:t>
            </w:r>
          </w:p>
        </w:tc>
        <w:tc>
          <w:tcPr>
            <w:tcW w:w="1135" w:type="dxa"/>
            <w:tcBorders>
              <w:top w:val="nil"/>
              <w:left w:val="nil"/>
              <w:bottom w:val="single" w:sz="4" w:space="0" w:color="auto"/>
              <w:right w:val="single" w:sz="4" w:space="0" w:color="auto"/>
            </w:tcBorders>
            <w:shd w:val="clear" w:color="000000" w:fill="FFFFFF"/>
            <w:noWrap/>
            <w:vAlign w:val="bottom"/>
            <w:hideMark/>
          </w:tcPr>
          <w:p w14:paraId="1FEEA73E"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1.906</w:t>
            </w:r>
          </w:p>
        </w:tc>
        <w:tc>
          <w:tcPr>
            <w:tcW w:w="1135" w:type="dxa"/>
            <w:tcBorders>
              <w:top w:val="nil"/>
              <w:left w:val="nil"/>
              <w:bottom w:val="single" w:sz="4" w:space="0" w:color="auto"/>
              <w:right w:val="single" w:sz="4" w:space="0" w:color="auto"/>
            </w:tcBorders>
            <w:shd w:val="clear" w:color="000000" w:fill="FFFFFF"/>
            <w:noWrap/>
            <w:vAlign w:val="bottom"/>
            <w:hideMark/>
          </w:tcPr>
          <w:p w14:paraId="2192B6A3"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2.187</w:t>
            </w:r>
          </w:p>
        </w:tc>
        <w:tc>
          <w:tcPr>
            <w:tcW w:w="1330" w:type="dxa"/>
            <w:tcBorders>
              <w:top w:val="nil"/>
              <w:left w:val="nil"/>
              <w:bottom w:val="single" w:sz="4" w:space="0" w:color="auto"/>
              <w:right w:val="single" w:sz="4" w:space="0" w:color="auto"/>
            </w:tcBorders>
            <w:shd w:val="clear" w:color="000000" w:fill="FFFFFF"/>
            <w:noWrap/>
            <w:vAlign w:val="bottom"/>
            <w:hideMark/>
          </w:tcPr>
          <w:p w14:paraId="14755F23"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3.508</w:t>
            </w:r>
          </w:p>
        </w:tc>
        <w:tc>
          <w:tcPr>
            <w:tcW w:w="1200" w:type="dxa"/>
            <w:tcBorders>
              <w:top w:val="nil"/>
              <w:left w:val="nil"/>
              <w:bottom w:val="single" w:sz="4" w:space="0" w:color="auto"/>
              <w:right w:val="single" w:sz="4" w:space="0" w:color="auto"/>
            </w:tcBorders>
            <w:shd w:val="clear" w:color="000000" w:fill="FFFFFF"/>
            <w:noWrap/>
            <w:vAlign w:val="bottom"/>
            <w:hideMark/>
          </w:tcPr>
          <w:p w14:paraId="75CF85F9"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114,77</w:t>
            </w:r>
          </w:p>
        </w:tc>
        <w:tc>
          <w:tcPr>
            <w:tcW w:w="1200" w:type="dxa"/>
            <w:tcBorders>
              <w:top w:val="nil"/>
              <w:left w:val="nil"/>
              <w:bottom w:val="single" w:sz="4" w:space="0" w:color="auto"/>
              <w:right w:val="single" w:sz="4" w:space="0" w:color="auto"/>
            </w:tcBorders>
            <w:shd w:val="clear" w:color="000000" w:fill="FFFFFF"/>
            <w:noWrap/>
            <w:vAlign w:val="bottom"/>
            <w:hideMark/>
          </w:tcPr>
          <w:p w14:paraId="35538D81"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184,09</w:t>
            </w:r>
          </w:p>
        </w:tc>
      </w:tr>
      <w:tr w:rsidR="004E10B7" w:rsidRPr="004E10B7" w14:paraId="35EDC14F" w14:textId="77777777" w:rsidTr="008A32EC">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14:paraId="7CF7BAB7" w14:textId="77777777" w:rsidR="00EB081D" w:rsidRPr="004E10B7" w:rsidRDefault="00EB081D"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La Pampa</w:t>
            </w:r>
          </w:p>
        </w:tc>
        <w:tc>
          <w:tcPr>
            <w:tcW w:w="1135" w:type="dxa"/>
            <w:tcBorders>
              <w:top w:val="nil"/>
              <w:left w:val="nil"/>
              <w:bottom w:val="single" w:sz="4" w:space="0" w:color="auto"/>
              <w:right w:val="single" w:sz="4" w:space="0" w:color="auto"/>
            </w:tcBorders>
            <w:shd w:val="clear" w:color="000000" w:fill="FFFFFF"/>
            <w:noWrap/>
            <w:vAlign w:val="bottom"/>
            <w:hideMark/>
          </w:tcPr>
          <w:p w14:paraId="46C2F923"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1.867</w:t>
            </w:r>
          </w:p>
        </w:tc>
        <w:tc>
          <w:tcPr>
            <w:tcW w:w="1135" w:type="dxa"/>
            <w:tcBorders>
              <w:top w:val="nil"/>
              <w:left w:val="nil"/>
              <w:bottom w:val="single" w:sz="4" w:space="0" w:color="auto"/>
              <w:right w:val="single" w:sz="4" w:space="0" w:color="auto"/>
            </w:tcBorders>
            <w:shd w:val="clear" w:color="000000" w:fill="FFFFFF"/>
            <w:noWrap/>
            <w:vAlign w:val="bottom"/>
            <w:hideMark/>
          </w:tcPr>
          <w:p w14:paraId="40DC9AE4"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2.467</w:t>
            </w:r>
          </w:p>
        </w:tc>
        <w:tc>
          <w:tcPr>
            <w:tcW w:w="1330" w:type="dxa"/>
            <w:tcBorders>
              <w:top w:val="nil"/>
              <w:left w:val="nil"/>
              <w:bottom w:val="single" w:sz="4" w:space="0" w:color="auto"/>
              <w:right w:val="single" w:sz="4" w:space="0" w:color="auto"/>
            </w:tcBorders>
            <w:shd w:val="clear" w:color="000000" w:fill="FFFFFF"/>
            <w:noWrap/>
            <w:vAlign w:val="bottom"/>
            <w:hideMark/>
          </w:tcPr>
          <w:p w14:paraId="6A2EFB3C"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3.654</w:t>
            </w:r>
          </w:p>
        </w:tc>
        <w:tc>
          <w:tcPr>
            <w:tcW w:w="1200" w:type="dxa"/>
            <w:tcBorders>
              <w:top w:val="nil"/>
              <w:left w:val="nil"/>
              <w:bottom w:val="single" w:sz="4" w:space="0" w:color="auto"/>
              <w:right w:val="single" w:sz="4" w:space="0" w:color="auto"/>
            </w:tcBorders>
            <w:shd w:val="clear" w:color="000000" w:fill="FFFFFF"/>
            <w:noWrap/>
            <w:vAlign w:val="bottom"/>
            <w:hideMark/>
          </w:tcPr>
          <w:p w14:paraId="276927E8"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132,12</w:t>
            </w:r>
          </w:p>
        </w:tc>
        <w:tc>
          <w:tcPr>
            <w:tcW w:w="1200" w:type="dxa"/>
            <w:tcBorders>
              <w:top w:val="nil"/>
              <w:left w:val="nil"/>
              <w:bottom w:val="single" w:sz="4" w:space="0" w:color="auto"/>
              <w:right w:val="single" w:sz="4" w:space="0" w:color="auto"/>
            </w:tcBorders>
            <w:shd w:val="clear" w:color="000000" w:fill="FFFFFF"/>
            <w:noWrap/>
            <w:vAlign w:val="bottom"/>
            <w:hideMark/>
          </w:tcPr>
          <w:p w14:paraId="082CB378"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195,66</w:t>
            </w:r>
          </w:p>
        </w:tc>
      </w:tr>
      <w:tr w:rsidR="004E10B7" w:rsidRPr="004E10B7" w14:paraId="00028ED1" w14:textId="77777777" w:rsidTr="008A32EC">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14:paraId="7D1DCECF" w14:textId="77777777" w:rsidR="00EB081D" w:rsidRPr="004E10B7" w:rsidRDefault="00EB081D"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La Rioja</w:t>
            </w:r>
          </w:p>
        </w:tc>
        <w:tc>
          <w:tcPr>
            <w:tcW w:w="1135" w:type="dxa"/>
            <w:tcBorders>
              <w:top w:val="nil"/>
              <w:left w:val="nil"/>
              <w:bottom w:val="single" w:sz="4" w:space="0" w:color="auto"/>
              <w:right w:val="single" w:sz="4" w:space="0" w:color="auto"/>
            </w:tcBorders>
            <w:shd w:val="clear" w:color="000000" w:fill="FFFFFF"/>
            <w:noWrap/>
            <w:vAlign w:val="bottom"/>
            <w:hideMark/>
          </w:tcPr>
          <w:p w14:paraId="7B93D69A"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1.166</w:t>
            </w:r>
          </w:p>
        </w:tc>
        <w:tc>
          <w:tcPr>
            <w:tcW w:w="1135" w:type="dxa"/>
            <w:tcBorders>
              <w:top w:val="nil"/>
              <w:left w:val="nil"/>
              <w:bottom w:val="single" w:sz="4" w:space="0" w:color="auto"/>
              <w:right w:val="single" w:sz="4" w:space="0" w:color="auto"/>
            </w:tcBorders>
            <w:shd w:val="clear" w:color="000000" w:fill="FFFFFF"/>
            <w:noWrap/>
            <w:vAlign w:val="bottom"/>
            <w:hideMark/>
          </w:tcPr>
          <w:p w14:paraId="719CD870"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1.184</w:t>
            </w:r>
          </w:p>
        </w:tc>
        <w:tc>
          <w:tcPr>
            <w:tcW w:w="1330" w:type="dxa"/>
            <w:tcBorders>
              <w:top w:val="nil"/>
              <w:left w:val="nil"/>
              <w:bottom w:val="single" w:sz="4" w:space="0" w:color="auto"/>
              <w:right w:val="single" w:sz="4" w:space="0" w:color="auto"/>
            </w:tcBorders>
            <w:shd w:val="clear" w:color="000000" w:fill="FFFFFF"/>
            <w:noWrap/>
            <w:vAlign w:val="bottom"/>
            <w:hideMark/>
          </w:tcPr>
          <w:p w14:paraId="292842B1"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1.807</w:t>
            </w:r>
          </w:p>
        </w:tc>
        <w:tc>
          <w:tcPr>
            <w:tcW w:w="1200" w:type="dxa"/>
            <w:tcBorders>
              <w:top w:val="nil"/>
              <w:left w:val="nil"/>
              <w:bottom w:val="single" w:sz="4" w:space="0" w:color="auto"/>
              <w:right w:val="single" w:sz="4" w:space="0" w:color="auto"/>
            </w:tcBorders>
            <w:shd w:val="clear" w:color="000000" w:fill="FFFFFF"/>
            <w:noWrap/>
            <w:vAlign w:val="bottom"/>
            <w:hideMark/>
          </w:tcPr>
          <w:p w14:paraId="0893397A"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101,55</w:t>
            </w:r>
          </w:p>
        </w:tc>
        <w:tc>
          <w:tcPr>
            <w:tcW w:w="1200" w:type="dxa"/>
            <w:tcBorders>
              <w:top w:val="nil"/>
              <w:left w:val="nil"/>
              <w:bottom w:val="single" w:sz="4" w:space="0" w:color="auto"/>
              <w:right w:val="single" w:sz="4" w:space="0" w:color="auto"/>
            </w:tcBorders>
            <w:shd w:val="clear" w:color="000000" w:fill="FFFFFF"/>
            <w:noWrap/>
            <w:vAlign w:val="bottom"/>
            <w:hideMark/>
          </w:tcPr>
          <w:p w14:paraId="1310A124"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155,00</w:t>
            </w:r>
          </w:p>
        </w:tc>
      </w:tr>
      <w:tr w:rsidR="004E10B7" w:rsidRPr="004E10B7" w14:paraId="12061C3E" w14:textId="77777777" w:rsidTr="008A32EC">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14:paraId="7D2D85E5" w14:textId="77777777" w:rsidR="00EB081D" w:rsidRPr="004E10B7" w:rsidRDefault="00EB081D"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Mza</w:t>
            </w:r>
          </w:p>
        </w:tc>
        <w:tc>
          <w:tcPr>
            <w:tcW w:w="1135" w:type="dxa"/>
            <w:tcBorders>
              <w:top w:val="nil"/>
              <w:left w:val="nil"/>
              <w:bottom w:val="single" w:sz="4" w:space="0" w:color="auto"/>
              <w:right w:val="single" w:sz="4" w:space="0" w:color="auto"/>
            </w:tcBorders>
            <w:shd w:val="clear" w:color="000000" w:fill="FFFFFF"/>
            <w:noWrap/>
            <w:vAlign w:val="bottom"/>
            <w:hideMark/>
          </w:tcPr>
          <w:p w14:paraId="56769535"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8.559</w:t>
            </w:r>
          </w:p>
        </w:tc>
        <w:tc>
          <w:tcPr>
            <w:tcW w:w="1135" w:type="dxa"/>
            <w:tcBorders>
              <w:top w:val="nil"/>
              <w:left w:val="nil"/>
              <w:bottom w:val="single" w:sz="4" w:space="0" w:color="auto"/>
              <w:right w:val="single" w:sz="4" w:space="0" w:color="auto"/>
            </w:tcBorders>
            <w:shd w:val="clear" w:color="000000" w:fill="FFFFFF"/>
            <w:noWrap/>
            <w:vAlign w:val="bottom"/>
            <w:hideMark/>
          </w:tcPr>
          <w:p w14:paraId="1E46F2FD"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11.897</w:t>
            </w:r>
          </w:p>
        </w:tc>
        <w:tc>
          <w:tcPr>
            <w:tcW w:w="1330" w:type="dxa"/>
            <w:tcBorders>
              <w:top w:val="nil"/>
              <w:left w:val="nil"/>
              <w:bottom w:val="single" w:sz="4" w:space="0" w:color="auto"/>
              <w:right w:val="single" w:sz="4" w:space="0" w:color="auto"/>
            </w:tcBorders>
            <w:shd w:val="clear" w:color="000000" w:fill="FFFFFF"/>
            <w:noWrap/>
            <w:vAlign w:val="bottom"/>
            <w:hideMark/>
          </w:tcPr>
          <w:p w14:paraId="22E49A7F"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16.820</w:t>
            </w:r>
          </w:p>
        </w:tc>
        <w:tc>
          <w:tcPr>
            <w:tcW w:w="1200" w:type="dxa"/>
            <w:tcBorders>
              <w:top w:val="nil"/>
              <w:left w:val="nil"/>
              <w:bottom w:val="single" w:sz="4" w:space="0" w:color="auto"/>
              <w:right w:val="single" w:sz="4" w:space="0" w:color="auto"/>
            </w:tcBorders>
            <w:shd w:val="clear" w:color="000000" w:fill="FFFFFF"/>
            <w:noWrap/>
            <w:vAlign w:val="bottom"/>
            <w:hideMark/>
          </w:tcPr>
          <w:p w14:paraId="3707B1A9"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138,99</w:t>
            </w:r>
          </w:p>
        </w:tc>
        <w:tc>
          <w:tcPr>
            <w:tcW w:w="1200" w:type="dxa"/>
            <w:tcBorders>
              <w:top w:val="nil"/>
              <w:left w:val="nil"/>
              <w:bottom w:val="single" w:sz="4" w:space="0" w:color="auto"/>
              <w:right w:val="single" w:sz="4" w:space="0" w:color="auto"/>
            </w:tcBorders>
            <w:shd w:val="clear" w:color="000000" w:fill="FFFFFF"/>
            <w:noWrap/>
            <w:vAlign w:val="bottom"/>
            <w:hideMark/>
          </w:tcPr>
          <w:p w14:paraId="3D376AB9"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196,51</w:t>
            </w:r>
          </w:p>
        </w:tc>
      </w:tr>
      <w:tr w:rsidR="004E10B7" w:rsidRPr="004E10B7" w14:paraId="4CCF7402" w14:textId="77777777" w:rsidTr="008A32EC">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14:paraId="0F76329F" w14:textId="77777777" w:rsidR="00EB081D" w:rsidRPr="004E10B7" w:rsidRDefault="00EB081D"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Misio.</w:t>
            </w:r>
          </w:p>
        </w:tc>
        <w:tc>
          <w:tcPr>
            <w:tcW w:w="1135" w:type="dxa"/>
            <w:tcBorders>
              <w:top w:val="nil"/>
              <w:left w:val="nil"/>
              <w:bottom w:val="single" w:sz="4" w:space="0" w:color="auto"/>
              <w:right w:val="single" w:sz="4" w:space="0" w:color="auto"/>
            </w:tcBorders>
            <w:shd w:val="clear" w:color="000000" w:fill="FFFFFF"/>
            <w:noWrap/>
            <w:vAlign w:val="bottom"/>
            <w:hideMark/>
          </w:tcPr>
          <w:p w14:paraId="4480A4CD"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2.970</w:t>
            </w:r>
          </w:p>
        </w:tc>
        <w:tc>
          <w:tcPr>
            <w:tcW w:w="1135" w:type="dxa"/>
            <w:tcBorders>
              <w:top w:val="nil"/>
              <w:left w:val="nil"/>
              <w:bottom w:val="single" w:sz="4" w:space="0" w:color="auto"/>
              <w:right w:val="single" w:sz="4" w:space="0" w:color="auto"/>
            </w:tcBorders>
            <w:shd w:val="clear" w:color="000000" w:fill="FFFFFF"/>
            <w:noWrap/>
            <w:vAlign w:val="bottom"/>
            <w:hideMark/>
          </w:tcPr>
          <w:p w14:paraId="163F184E"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3.266</w:t>
            </w:r>
          </w:p>
        </w:tc>
        <w:tc>
          <w:tcPr>
            <w:tcW w:w="1330" w:type="dxa"/>
            <w:tcBorders>
              <w:top w:val="nil"/>
              <w:left w:val="nil"/>
              <w:bottom w:val="single" w:sz="4" w:space="0" w:color="auto"/>
              <w:right w:val="single" w:sz="4" w:space="0" w:color="auto"/>
            </w:tcBorders>
            <w:shd w:val="clear" w:color="000000" w:fill="FFFFFF"/>
            <w:noWrap/>
            <w:vAlign w:val="bottom"/>
            <w:hideMark/>
          </w:tcPr>
          <w:p w14:paraId="0D9414EC"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5.143</w:t>
            </w:r>
          </w:p>
        </w:tc>
        <w:tc>
          <w:tcPr>
            <w:tcW w:w="1200" w:type="dxa"/>
            <w:tcBorders>
              <w:top w:val="nil"/>
              <w:left w:val="nil"/>
              <w:bottom w:val="single" w:sz="4" w:space="0" w:color="auto"/>
              <w:right w:val="single" w:sz="4" w:space="0" w:color="auto"/>
            </w:tcBorders>
            <w:shd w:val="clear" w:color="000000" w:fill="FFFFFF"/>
            <w:noWrap/>
            <w:vAlign w:val="bottom"/>
            <w:hideMark/>
          </w:tcPr>
          <w:p w14:paraId="04F35823"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109,98</w:t>
            </w:r>
          </w:p>
        </w:tc>
        <w:tc>
          <w:tcPr>
            <w:tcW w:w="1200" w:type="dxa"/>
            <w:tcBorders>
              <w:top w:val="nil"/>
              <w:left w:val="nil"/>
              <w:bottom w:val="single" w:sz="4" w:space="0" w:color="auto"/>
              <w:right w:val="single" w:sz="4" w:space="0" w:color="auto"/>
            </w:tcBorders>
            <w:shd w:val="clear" w:color="000000" w:fill="FFFFFF"/>
            <w:noWrap/>
            <w:vAlign w:val="bottom"/>
            <w:hideMark/>
          </w:tcPr>
          <w:p w14:paraId="0688E540"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173,15</w:t>
            </w:r>
          </w:p>
        </w:tc>
      </w:tr>
      <w:tr w:rsidR="004E10B7" w:rsidRPr="004E10B7" w14:paraId="21D52696" w14:textId="77777777" w:rsidTr="008A32EC">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14:paraId="4DA24D90" w14:textId="77777777" w:rsidR="00EB081D" w:rsidRPr="004E10B7" w:rsidRDefault="00EB081D"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Neuq.</w:t>
            </w:r>
          </w:p>
        </w:tc>
        <w:tc>
          <w:tcPr>
            <w:tcW w:w="1135" w:type="dxa"/>
            <w:tcBorders>
              <w:top w:val="nil"/>
              <w:left w:val="nil"/>
              <w:bottom w:val="single" w:sz="4" w:space="0" w:color="auto"/>
              <w:right w:val="single" w:sz="4" w:space="0" w:color="auto"/>
            </w:tcBorders>
            <w:shd w:val="clear" w:color="000000" w:fill="FFFFFF"/>
            <w:noWrap/>
            <w:vAlign w:val="bottom"/>
            <w:hideMark/>
          </w:tcPr>
          <w:p w14:paraId="6686692C"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3.738</w:t>
            </w:r>
          </w:p>
        </w:tc>
        <w:tc>
          <w:tcPr>
            <w:tcW w:w="1135" w:type="dxa"/>
            <w:tcBorders>
              <w:top w:val="nil"/>
              <w:left w:val="nil"/>
              <w:bottom w:val="single" w:sz="4" w:space="0" w:color="auto"/>
              <w:right w:val="single" w:sz="4" w:space="0" w:color="auto"/>
            </w:tcBorders>
            <w:shd w:val="clear" w:color="000000" w:fill="FFFFFF"/>
            <w:noWrap/>
            <w:vAlign w:val="bottom"/>
            <w:hideMark/>
          </w:tcPr>
          <w:p w14:paraId="4D7DB159"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7.143</w:t>
            </w:r>
          </w:p>
        </w:tc>
        <w:tc>
          <w:tcPr>
            <w:tcW w:w="1330" w:type="dxa"/>
            <w:tcBorders>
              <w:top w:val="nil"/>
              <w:left w:val="nil"/>
              <w:bottom w:val="single" w:sz="4" w:space="0" w:color="auto"/>
              <w:right w:val="single" w:sz="4" w:space="0" w:color="auto"/>
            </w:tcBorders>
            <w:shd w:val="clear" w:color="000000" w:fill="FFFFFF"/>
            <w:noWrap/>
            <w:vAlign w:val="bottom"/>
            <w:hideMark/>
          </w:tcPr>
          <w:p w14:paraId="6A09808A"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11.321</w:t>
            </w:r>
          </w:p>
        </w:tc>
        <w:tc>
          <w:tcPr>
            <w:tcW w:w="1200" w:type="dxa"/>
            <w:tcBorders>
              <w:top w:val="nil"/>
              <w:left w:val="nil"/>
              <w:bottom w:val="single" w:sz="4" w:space="0" w:color="auto"/>
              <w:right w:val="single" w:sz="4" w:space="0" w:color="auto"/>
            </w:tcBorders>
            <w:shd w:val="clear" w:color="000000" w:fill="FFFFFF"/>
            <w:noWrap/>
            <w:vAlign w:val="bottom"/>
            <w:hideMark/>
          </w:tcPr>
          <w:p w14:paraId="09952CD7"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191,10</w:t>
            </w:r>
          </w:p>
        </w:tc>
        <w:tc>
          <w:tcPr>
            <w:tcW w:w="1200" w:type="dxa"/>
            <w:tcBorders>
              <w:top w:val="nil"/>
              <w:left w:val="nil"/>
              <w:bottom w:val="single" w:sz="4" w:space="0" w:color="auto"/>
              <w:right w:val="single" w:sz="4" w:space="0" w:color="auto"/>
            </w:tcBorders>
            <w:shd w:val="clear" w:color="000000" w:fill="FFFFFF"/>
            <w:noWrap/>
            <w:vAlign w:val="bottom"/>
            <w:hideMark/>
          </w:tcPr>
          <w:p w14:paraId="3AE5ED80"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302,87</w:t>
            </w:r>
          </w:p>
        </w:tc>
      </w:tr>
      <w:tr w:rsidR="004E10B7" w:rsidRPr="004E10B7" w14:paraId="7B5E1574" w14:textId="77777777" w:rsidTr="008A32EC">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14:paraId="09360F3A" w14:textId="77777777" w:rsidR="00EB081D" w:rsidRPr="004E10B7" w:rsidRDefault="00EB081D"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Río N.</w:t>
            </w:r>
          </w:p>
        </w:tc>
        <w:tc>
          <w:tcPr>
            <w:tcW w:w="1135" w:type="dxa"/>
            <w:tcBorders>
              <w:top w:val="nil"/>
              <w:left w:val="nil"/>
              <w:bottom w:val="single" w:sz="4" w:space="0" w:color="auto"/>
              <w:right w:val="single" w:sz="4" w:space="0" w:color="auto"/>
            </w:tcBorders>
            <w:shd w:val="clear" w:color="000000" w:fill="FFFFFF"/>
            <w:noWrap/>
            <w:vAlign w:val="bottom"/>
            <w:hideMark/>
          </w:tcPr>
          <w:p w14:paraId="79F2E987"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3.116</w:t>
            </w:r>
          </w:p>
        </w:tc>
        <w:tc>
          <w:tcPr>
            <w:tcW w:w="1135" w:type="dxa"/>
            <w:tcBorders>
              <w:top w:val="nil"/>
              <w:left w:val="nil"/>
              <w:bottom w:val="single" w:sz="4" w:space="0" w:color="auto"/>
              <w:right w:val="single" w:sz="4" w:space="0" w:color="auto"/>
            </w:tcBorders>
            <w:shd w:val="clear" w:color="000000" w:fill="FFFFFF"/>
            <w:noWrap/>
            <w:vAlign w:val="bottom"/>
            <w:hideMark/>
          </w:tcPr>
          <w:p w14:paraId="76F5C87D"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3.518</w:t>
            </w:r>
          </w:p>
        </w:tc>
        <w:tc>
          <w:tcPr>
            <w:tcW w:w="1330" w:type="dxa"/>
            <w:tcBorders>
              <w:top w:val="nil"/>
              <w:left w:val="nil"/>
              <w:bottom w:val="single" w:sz="4" w:space="0" w:color="auto"/>
              <w:right w:val="single" w:sz="4" w:space="0" w:color="auto"/>
            </w:tcBorders>
            <w:shd w:val="clear" w:color="000000" w:fill="FFFFFF"/>
            <w:noWrap/>
            <w:vAlign w:val="bottom"/>
            <w:hideMark/>
          </w:tcPr>
          <w:p w14:paraId="4E196BB4"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5.536</w:t>
            </w:r>
          </w:p>
        </w:tc>
        <w:tc>
          <w:tcPr>
            <w:tcW w:w="1200" w:type="dxa"/>
            <w:tcBorders>
              <w:top w:val="nil"/>
              <w:left w:val="nil"/>
              <w:bottom w:val="single" w:sz="4" w:space="0" w:color="auto"/>
              <w:right w:val="single" w:sz="4" w:space="0" w:color="auto"/>
            </w:tcBorders>
            <w:shd w:val="clear" w:color="000000" w:fill="FFFFFF"/>
            <w:noWrap/>
            <w:vAlign w:val="bottom"/>
            <w:hideMark/>
          </w:tcPr>
          <w:p w14:paraId="4045C1D1"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112,91</w:t>
            </w:r>
          </w:p>
        </w:tc>
        <w:tc>
          <w:tcPr>
            <w:tcW w:w="1200" w:type="dxa"/>
            <w:tcBorders>
              <w:top w:val="nil"/>
              <w:left w:val="nil"/>
              <w:bottom w:val="single" w:sz="4" w:space="0" w:color="auto"/>
              <w:right w:val="single" w:sz="4" w:space="0" w:color="auto"/>
            </w:tcBorders>
            <w:shd w:val="clear" w:color="000000" w:fill="FFFFFF"/>
            <w:noWrap/>
            <w:vAlign w:val="bottom"/>
            <w:hideMark/>
          </w:tcPr>
          <w:p w14:paraId="4F293834"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177,64</w:t>
            </w:r>
          </w:p>
        </w:tc>
      </w:tr>
      <w:tr w:rsidR="004E10B7" w:rsidRPr="004E10B7" w14:paraId="013790AC" w14:textId="77777777" w:rsidTr="008A32EC">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14:paraId="6369F8ED" w14:textId="77777777" w:rsidR="00EB081D" w:rsidRPr="004E10B7" w:rsidRDefault="00EB081D"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Salta</w:t>
            </w:r>
          </w:p>
        </w:tc>
        <w:tc>
          <w:tcPr>
            <w:tcW w:w="1135" w:type="dxa"/>
            <w:tcBorders>
              <w:top w:val="nil"/>
              <w:left w:val="nil"/>
              <w:bottom w:val="single" w:sz="4" w:space="0" w:color="auto"/>
              <w:right w:val="single" w:sz="4" w:space="0" w:color="auto"/>
            </w:tcBorders>
            <w:shd w:val="clear" w:color="000000" w:fill="FFFFFF"/>
            <w:noWrap/>
            <w:vAlign w:val="bottom"/>
            <w:hideMark/>
          </w:tcPr>
          <w:p w14:paraId="737F8A9D"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3.224</w:t>
            </w:r>
          </w:p>
        </w:tc>
        <w:tc>
          <w:tcPr>
            <w:tcW w:w="1135" w:type="dxa"/>
            <w:tcBorders>
              <w:top w:val="nil"/>
              <w:left w:val="nil"/>
              <w:bottom w:val="single" w:sz="4" w:space="0" w:color="auto"/>
              <w:right w:val="single" w:sz="4" w:space="0" w:color="auto"/>
            </w:tcBorders>
            <w:shd w:val="clear" w:color="000000" w:fill="FFFFFF"/>
            <w:noWrap/>
            <w:vAlign w:val="bottom"/>
            <w:hideMark/>
          </w:tcPr>
          <w:p w14:paraId="7EF5A629"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4.240</w:t>
            </w:r>
          </w:p>
        </w:tc>
        <w:tc>
          <w:tcPr>
            <w:tcW w:w="1330" w:type="dxa"/>
            <w:tcBorders>
              <w:top w:val="nil"/>
              <w:left w:val="nil"/>
              <w:bottom w:val="single" w:sz="4" w:space="0" w:color="auto"/>
              <w:right w:val="single" w:sz="4" w:space="0" w:color="auto"/>
            </w:tcBorders>
            <w:shd w:val="clear" w:color="000000" w:fill="FFFFFF"/>
            <w:noWrap/>
            <w:vAlign w:val="bottom"/>
            <w:hideMark/>
          </w:tcPr>
          <w:p w14:paraId="30F48049"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6.860</w:t>
            </w:r>
          </w:p>
        </w:tc>
        <w:tc>
          <w:tcPr>
            <w:tcW w:w="1200" w:type="dxa"/>
            <w:tcBorders>
              <w:top w:val="nil"/>
              <w:left w:val="nil"/>
              <w:bottom w:val="single" w:sz="4" w:space="0" w:color="auto"/>
              <w:right w:val="single" w:sz="4" w:space="0" w:color="auto"/>
            </w:tcBorders>
            <w:shd w:val="clear" w:color="000000" w:fill="FFFFFF"/>
            <w:noWrap/>
            <w:vAlign w:val="bottom"/>
            <w:hideMark/>
          </w:tcPr>
          <w:p w14:paraId="2EEA4112"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131,52</w:t>
            </w:r>
          </w:p>
        </w:tc>
        <w:tc>
          <w:tcPr>
            <w:tcW w:w="1200" w:type="dxa"/>
            <w:tcBorders>
              <w:top w:val="nil"/>
              <w:left w:val="nil"/>
              <w:bottom w:val="single" w:sz="4" w:space="0" w:color="auto"/>
              <w:right w:val="single" w:sz="4" w:space="0" w:color="auto"/>
            </w:tcBorders>
            <w:shd w:val="clear" w:color="000000" w:fill="FFFFFF"/>
            <w:noWrap/>
            <w:vAlign w:val="bottom"/>
            <w:hideMark/>
          </w:tcPr>
          <w:p w14:paraId="6BCF0D21"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212,78</w:t>
            </w:r>
          </w:p>
        </w:tc>
      </w:tr>
      <w:tr w:rsidR="004E10B7" w:rsidRPr="004E10B7" w14:paraId="38637013" w14:textId="77777777" w:rsidTr="008A32EC">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14:paraId="4BB5B654" w14:textId="77777777" w:rsidR="00EB081D" w:rsidRPr="004E10B7" w:rsidRDefault="00EB081D"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S.J.</w:t>
            </w:r>
          </w:p>
        </w:tc>
        <w:tc>
          <w:tcPr>
            <w:tcW w:w="1135" w:type="dxa"/>
            <w:tcBorders>
              <w:top w:val="nil"/>
              <w:left w:val="nil"/>
              <w:bottom w:val="single" w:sz="4" w:space="0" w:color="auto"/>
              <w:right w:val="single" w:sz="4" w:space="0" w:color="auto"/>
            </w:tcBorders>
            <w:shd w:val="clear" w:color="000000" w:fill="FFFFFF"/>
            <w:noWrap/>
            <w:vAlign w:val="bottom"/>
            <w:hideMark/>
          </w:tcPr>
          <w:p w14:paraId="152095ED"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2.395</w:t>
            </w:r>
          </w:p>
        </w:tc>
        <w:tc>
          <w:tcPr>
            <w:tcW w:w="1135" w:type="dxa"/>
            <w:tcBorders>
              <w:top w:val="nil"/>
              <w:left w:val="nil"/>
              <w:bottom w:val="single" w:sz="4" w:space="0" w:color="auto"/>
              <w:right w:val="single" w:sz="4" w:space="0" w:color="auto"/>
            </w:tcBorders>
            <w:shd w:val="clear" w:color="000000" w:fill="FFFFFF"/>
            <w:noWrap/>
            <w:vAlign w:val="bottom"/>
            <w:hideMark/>
          </w:tcPr>
          <w:p w14:paraId="1E246923"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2.244</w:t>
            </w:r>
          </w:p>
        </w:tc>
        <w:tc>
          <w:tcPr>
            <w:tcW w:w="1330" w:type="dxa"/>
            <w:tcBorders>
              <w:top w:val="nil"/>
              <w:left w:val="nil"/>
              <w:bottom w:val="single" w:sz="4" w:space="0" w:color="auto"/>
              <w:right w:val="single" w:sz="4" w:space="0" w:color="auto"/>
            </w:tcBorders>
            <w:shd w:val="clear" w:color="000000" w:fill="FFFFFF"/>
            <w:noWrap/>
            <w:vAlign w:val="bottom"/>
            <w:hideMark/>
          </w:tcPr>
          <w:p w14:paraId="75E2147D"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3.832</w:t>
            </w:r>
          </w:p>
        </w:tc>
        <w:tc>
          <w:tcPr>
            <w:tcW w:w="1200" w:type="dxa"/>
            <w:tcBorders>
              <w:top w:val="nil"/>
              <w:left w:val="nil"/>
              <w:bottom w:val="single" w:sz="4" w:space="0" w:color="auto"/>
              <w:right w:val="single" w:sz="4" w:space="0" w:color="auto"/>
            </w:tcBorders>
            <w:shd w:val="clear" w:color="000000" w:fill="FFFFFF"/>
            <w:noWrap/>
            <w:vAlign w:val="bottom"/>
            <w:hideMark/>
          </w:tcPr>
          <w:p w14:paraId="7D390920"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93,70</w:t>
            </w:r>
          </w:p>
        </w:tc>
        <w:tc>
          <w:tcPr>
            <w:tcW w:w="1200" w:type="dxa"/>
            <w:tcBorders>
              <w:top w:val="nil"/>
              <w:left w:val="nil"/>
              <w:bottom w:val="single" w:sz="4" w:space="0" w:color="auto"/>
              <w:right w:val="single" w:sz="4" w:space="0" w:color="auto"/>
            </w:tcBorders>
            <w:shd w:val="clear" w:color="000000" w:fill="FFFFFF"/>
            <w:noWrap/>
            <w:vAlign w:val="bottom"/>
            <w:hideMark/>
          </w:tcPr>
          <w:p w14:paraId="10200B70"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160,01</w:t>
            </w:r>
          </w:p>
        </w:tc>
      </w:tr>
      <w:tr w:rsidR="004E10B7" w:rsidRPr="004E10B7" w14:paraId="170B453C" w14:textId="77777777" w:rsidTr="008A32EC">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14:paraId="59CF5F12" w14:textId="77777777" w:rsidR="00EB081D" w:rsidRPr="004E10B7" w:rsidRDefault="00EB081D"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S. Luis</w:t>
            </w:r>
          </w:p>
        </w:tc>
        <w:tc>
          <w:tcPr>
            <w:tcW w:w="1135" w:type="dxa"/>
            <w:tcBorders>
              <w:top w:val="nil"/>
              <w:left w:val="nil"/>
              <w:bottom w:val="single" w:sz="4" w:space="0" w:color="auto"/>
              <w:right w:val="single" w:sz="4" w:space="0" w:color="auto"/>
            </w:tcBorders>
            <w:shd w:val="clear" w:color="000000" w:fill="FFFFFF"/>
            <w:noWrap/>
            <w:vAlign w:val="bottom"/>
            <w:hideMark/>
          </w:tcPr>
          <w:p w14:paraId="037F0B09"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2.249</w:t>
            </w:r>
          </w:p>
        </w:tc>
        <w:tc>
          <w:tcPr>
            <w:tcW w:w="1135" w:type="dxa"/>
            <w:tcBorders>
              <w:top w:val="nil"/>
              <w:left w:val="nil"/>
              <w:bottom w:val="single" w:sz="4" w:space="0" w:color="auto"/>
              <w:right w:val="single" w:sz="4" w:space="0" w:color="auto"/>
            </w:tcBorders>
            <w:shd w:val="clear" w:color="000000" w:fill="FFFFFF"/>
            <w:noWrap/>
            <w:vAlign w:val="bottom"/>
            <w:hideMark/>
          </w:tcPr>
          <w:p w14:paraId="3BD71569"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2.768</w:t>
            </w:r>
          </w:p>
        </w:tc>
        <w:tc>
          <w:tcPr>
            <w:tcW w:w="1330" w:type="dxa"/>
            <w:tcBorders>
              <w:top w:val="nil"/>
              <w:left w:val="nil"/>
              <w:bottom w:val="single" w:sz="4" w:space="0" w:color="auto"/>
              <w:right w:val="single" w:sz="4" w:space="0" w:color="auto"/>
            </w:tcBorders>
            <w:shd w:val="clear" w:color="000000" w:fill="FFFFFF"/>
            <w:noWrap/>
            <w:vAlign w:val="bottom"/>
            <w:hideMark/>
          </w:tcPr>
          <w:p w14:paraId="455D3F60"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4.318</w:t>
            </w:r>
          </w:p>
        </w:tc>
        <w:tc>
          <w:tcPr>
            <w:tcW w:w="1200" w:type="dxa"/>
            <w:tcBorders>
              <w:top w:val="nil"/>
              <w:left w:val="nil"/>
              <w:bottom w:val="single" w:sz="4" w:space="0" w:color="auto"/>
              <w:right w:val="single" w:sz="4" w:space="0" w:color="auto"/>
            </w:tcBorders>
            <w:shd w:val="clear" w:color="000000" w:fill="FFFFFF"/>
            <w:noWrap/>
            <w:vAlign w:val="bottom"/>
            <w:hideMark/>
          </w:tcPr>
          <w:p w14:paraId="255524BC"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123,09</w:t>
            </w:r>
          </w:p>
        </w:tc>
        <w:tc>
          <w:tcPr>
            <w:tcW w:w="1200" w:type="dxa"/>
            <w:tcBorders>
              <w:top w:val="nil"/>
              <w:left w:val="nil"/>
              <w:bottom w:val="single" w:sz="4" w:space="0" w:color="auto"/>
              <w:right w:val="single" w:sz="4" w:space="0" w:color="auto"/>
            </w:tcBorders>
            <w:shd w:val="clear" w:color="000000" w:fill="FFFFFF"/>
            <w:noWrap/>
            <w:vAlign w:val="bottom"/>
            <w:hideMark/>
          </w:tcPr>
          <w:p w14:paraId="4E6F187D"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192,05</w:t>
            </w:r>
          </w:p>
        </w:tc>
      </w:tr>
      <w:tr w:rsidR="004E10B7" w:rsidRPr="004E10B7" w14:paraId="3B29DCD4" w14:textId="77777777" w:rsidTr="008A32EC">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14:paraId="266BCFC3" w14:textId="77777777" w:rsidR="00EB081D" w:rsidRPr="004E10B7" w:rsidRDefault="00EB081D"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Sta. Cruz</w:t>
            </w:r>
          </w:p>
        </w:tc>
        <w:tc>
          <w:tcPr>
            <w:tcW w:w="1135" w:type="dxa"/>
            <w:tcBorders>
              <w:top w:val="nil"/>
              <w:left w:val="nil"/>
              <w:bottom w:val="single" w:sz="4" w:space="0" w:color="auto"/>
              <w:right w:val="single" w:sz="4" w:space="0" w:color="auto"/>
            </w:tcBorders>
            <w:shd w:val="clear" w:color="000000" w:fill="FFFFFF"/>
            <w:noWrap/>
            <w:vAlign w:val="bottom"/>
            <w:hideMark/>
          </w:tcPr>
          <w:p w14:paraId="110E31D3"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2.072</w:t>
            </w:r>
          </w:p>
        </w:tc>
        <w:tc>
          <w:tcPr>
            <w:tcW w:w="1135" w:type="dxa"/>
            <w:tcBorders>
              <w:top w:val="nil"/>
              <w:left w:val="nil"/>
              <w:bottom w:val="single" w:sz="4" w:space="0" w:color="auto"/>
              <w:right w:val="single" w:sz="4" w:space="0" w:color="auto"/>
            </w:tcBorders>
            <w:shd w:val="clear" w:color="000000" w:fill="FFFFFF"/>
            <w:noWrap/>
            <w:vAlign w:val="bottom"/>
            <w:hideMark/>
          </w:tcPr>
          <w:p w14:paraId="689A3827"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4.328</w:t>
            </w:r>
          </w:p>
        </w:tc>
        <w:tc>
          <w:tcPr>
            <w:tcW w:w="1330" w:type="dxa"/>
            <w:tcBorders>
              <w:top w:val="nil"/>
              <w:left w:val="nil"/>
              <w:bottom w:val="single" w:sz="4" w:space="0" w:color="auto"/>
              <w:right w:val="single" w:sz="4" w:space="0" w:color="auto"/>
            </w:tcBorders>
            <w:shd w:val="clear" w:color="000000" w:fill="FFFFFF"/>
            <w:noWrap/>
            <w:vAlign w:val="bottom"/>
            <w:hideMark/>
          </w:tcPr>
          <w:p w14:paraId="7F691B76"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6.798</w:t>
            </w:r>
          </w:p>
        </w:tc>
        <w:tc>
          <w:tcPr>
            <w:tcW w:w="1200" w:type="dxa"/>
            <w:tcBorders>
              <w:top w:val="nil"/>
              <w:left w:val="nil"/>
              <w:bottom w:val="single" w:sz="4" w:space="0" w:color="auto"/>
              <w:right w:val="single" w:sz="4" w:space="0" w:color="auto"/>
            </w:tcBorders>
            <w:shd w:val="clear" w:color="000000" w:fill="FFFFFF"/>
            <w:noWrap/>
            <w:vAlign w:val="bottom"/>
            <w:hideMark/>
          </w:tcPr>
          <w:p w14:paraId="7E4F8243"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208,91</w:t>
            </w:r>
          </w:p>
        </w:tc>
        <w:tc>
          <w:tcPr>
            <w:tcW w:w="1200" w:type="dxa"/>
            <w:tcBorders>
              <w:top w:val="nil"/>
              <w:left w:val="nil"/>
              <w:bottom w:val="single" w:sz="4" w:space="0" w:color="auto"/>
              <w:right w:val="single" w:sz="4" w:space="0" w:color="auto"/>
            </w:tcBorders>
            <w:shd w:val="clear" w:color="000000" w:fill="FFFFFF"/>
            <w:noWrap/>
            <w:vAlign w:val="bottom"/>
            <w:hideMark/>
          </w:tcPr>
          <w:p w14:paraId="4B45430B"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328,10</w:t>
            </w:r>
          </w:p>
        </w:tc>
      </w:tr>
      <w:tr w:rsidR="004E10B7" w:rsidRPr="004E10B7" w14:paraId="4390E0CF" w14:textId="77777777" w:rsidTr="008A32EC">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14:paraId="50099711" w14:textId="77777777" w:rsidR="00EB081D" w:rsidRPr="004E10B7" w:rsidRDefault="00EB081D"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Sta. Fe</w:t>
            </w:r>
          </w:p>
        </w:tc>
        <w:tc>
          <w:tcPr>
            <w:tcW w:w="1135" w:type="dxa"/>
            <w:tcBorders>
              <w:top w:val="nil"/>
              <w:left w:val="nil"/>
              <w:bottom w:val="single" w:sz="4" w:space="0" w:color="auto"/>
              <w:right w:val="single" w:sz="4" w:space="0" w:color="auto"/>
            </w:tcBorders>
            <w:shd w:val="clear" w:color="000000" w:fill="FFFFFF"/>
            <w:noWrap/>
            <w:vAlign w:val="bottom"/>
            <w:hideMark/>
          </w:tcPr>
          <w:p w14:paraId="1AF55027"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17.261</w:t>
            </w:r>
          </w:p>
        </w:tc>
        <w:tc>
          <w:tcPr>
            <w:tcW w:w="1135" w:type="dxa"/>
            <w:tcBorders>
              <w:top w:val="nil"/>
              <w:left w:val="nil"/>
              <w:bottom w:val="single" w:sz="4" w:space="0" w:color="auto"/>
              <w:right w:val="single" w:sz="4" w:space="0" w:color="auto"/>
            </w:tcBorders>
            <w:shd w:val="clear" w:color="000000" w:fill="FFFFFF"/>
            <w:noWrap/>
            <w:vAlign w:val="bottom"/>
            <w:hideMark/>
          </w:tcPr>
          <w:p w14:paraId="5010AE00"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21.765</w:t>
            </w:r>
          </w:p>
        </w:tc>
        <w:tc>
          <w:tcPr>
            <w:tcW w:w="1330" w:type="dxa"/>
            <w:tcBorders>
              <w:top w:val="nil"/>
              <w:left w:val="nil"/>
              <w:bottom w:val="single" w:sz="4" w:space="0" w:color="auto"/>
              <w:right w:val="single" w:sz="4" w:space="0" w:color="auto"/>
            </w:tcBorders>
            <w:shd w:val="clear" w:color="000000" w:fill="FFFFFF"/>
            <w:noWrap/>
            <w:vAlign w:val="bottom"/>
            <w:hideMark/>
          </w:tcPr>
          <w:p w14:paraId="2AF01AEE"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30.858</w:t>
            </w:r>
          </w:p>
        </w:tc>
        <w:tc>
          <w:tcPr>
            <w:tcW w:w="1200" w:type="dxa"/>
            <w:tcBorders>
              <w:top w:val="nil"/>
              <w:left w:val="nil"/>
              <w:bottom w:val="single" w:sz="4" w:space="0" w:color="auto"/>
              <w:right w:val="single" w:sz="4" w:space="0" w:color="auto"/>
            </w:tcBorders>
            <w:shd w:val="clear" w:color="000000" w:fill="FFFFFF"/>
            <w:noWrap/>
            <w:vAlign w:val="bottom"/>
            <w:hideMark/>
          </w:tcPr>
          <w:p w14:paraId="5845E9A3"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126,09</w:t>
            </w:r>
          </w:p>
        </w:tc>
        <w:tc>
          <w:tcPr>
            <w:tcW w:w="1200" w:type="dxa"/>
            <w:tcBorders>
              <w:top w:val="nil"/>
              <w:left w:val="nil"/>
              <w:bottom w:val="single" w:sz="4" w:space="0" w:color="auto"/>
              <w:right w:val="single" w:sz="4" w:space="0" w:color="auto"/>
            </w:tcBorders>
            <w:shd w:val="clear" w:color="000000" w:fill="FFFFFF"/>
            <w:noWrap/>
            <w:vAlign w:val="bottom"/>
            <w:hideMark/>
          </w:tcPr>
          <w:p w14:paraId="0D20EF81"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178,77</w:t>
            </w:r>
          </w:p>
        </w:tc>
      </w:tr>
      <w:tr w:rsidR="004E10B7" w:rsidRPr="004E10B7" w14:paraId="1A7A53EF" w14:textId="77777777" w:rsidTr="008A32EC">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14:paraId="280D40D7" w14:textId="77777777" w:rsidR="00EB081D" w:rsidRPr="004E10B7" w:rsidRDefault="00EB081D"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Stgo d.E.</w:t>
            </w:r>
          </w:p>
        </w:tc>
        <w:tc>
          <w:tcPr>
            <w:tcW w:w="1135" w:type="dxa"/>
            <w:tcBorders>
              <w:top w:val="nil"/>
              <w:left w:val="nil"/>
              <w:bottom w:val="single" w:sz="4" w:space="0" w:color="auto"/>
              <w:right w:val="single" w:sz="4" w:space="0" w:color="auto"/>
            </w:tcBorders>
            <w:shd w:val="clear" w:color="000000" w:fill="FFFFFF"/>
            <w:noWrap/>
            <w:vAlign w:val="bottom"/>
            <w:hideMark/>
          </w:tcPr>
          <w:p w14:paraId="1F7D3134"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1.989</w:t>
            </w:r>
          </w:p>
        </w:tc>
        <w:tc>
          <w:tcPr>
            <w:tcW w:w="1135" w:type="dxa"/>
            <w:tcBorders>
              <w:top w:val="nil"/>
              <w:left w:val="nil"/>
              <w:bottom w:val="single" w:sz="4" w:space="0" w:color="auto"/>
              <w:right w:val="single" w:sz="4" w:space="0" w:color="auto"/>
            </w:tcBorders>
            <w:shd w:val="clear" w:color="000000" w:fill="FFFFFF"/>
            <w:noWrap/>
            <w:vAlign w:val="bottom"/>
            <w:hideMark/>
          </w:tcPr>
          <w:p w14:paraId="20D55B1B"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2.377</w:t>
            </w:r>
          </w:p>
        </w:tc>
        <w:tc>
          <w:tcPr>
            <w:tcW w:w="1330" w:type="dxa"/>
            <w:tcBorders>
              <w:top w:val="nil"/>
              <w:left w:val="nil"/>
              <w:bottom w:val="single" w:sz="4" w:space="0" w:color="auto"/>
              <w:right w:val="single" w:sz="4" w:space="0" w:color="auto"/>
            </w:tcBorders>
            <w:shd w:val="clear" w:color="000000" w:fill="FFFFFF"/>
            <w:noWrap/>
            <w:vAlign w:val="bottom"/>
            <w:hideMark/>
          </w:tcPr>
          <w:p w14:paraId="3414CBAA"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4.108</w:t>
            </w:r>
          </w:p>
        </w:tc>
        <w:tc>
          <w:tcPr>
            <w:tcW w:w="1200" w:type="dxa"/>
            <w:tcBorders>
              <w:top w:val="nil"/>
              <w:left w:val="nil"/>
              <w:bottom w:val="single" w:sz="4" w:space="0" w:color="auto"/>
              <w:right w:val="single" w:sz="4" w:space="0" w:color="auto"/>
            </w:tcBorders>
            <w:shd w:val="clear" w:color="000000" w:fill="FFFFFF"/>
            <w:noWrap/>
            <w:vAlign w:val="bottom"/>
            <w:hideMark/>
          </w:tcPr>
          <w:p w14:paraId="1CD5FCB8"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119,52</w:t>
            </w:r>
          </w:p>
        </w:tc>
        <w:tc>
          <w:tcPr>
            <w:tcW w:w="1200" w:type="dxa"/>
            <w:tcBorders>
              <w:top w:val="nil"/>
              <w:left w:val="nil"/>
              <w:bottom w:val="single" w:sz="4" w:space="0" w:color="auto"/>
              <w:right w:val="single" w:sz="4" w:space="0" w:color="auto"/>
            </w:tcBorders>
            <w:shd w:val="clear" w:color="000000" w:fill="FFFFFF"/>
            <w:noWrap/>
            <w:vAlign w:val="bottom"/>
            <w:hideMark/>
          </w:tcPr>
          <w:p w14:paraId="584CEF04"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206,52</w:t>
            </w:r>
          </w:p>
        </w:tc>
      </w:tr>
      <w:tr w:rsidR="004E10B7" w:rsidRPr="004E10B7" w14:paraId="474E06A3" w14:textId="77777777" w:rsidTr="008A32EC">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14:paraId="61F2A561" w14:textId="77777777" w:rsidR="00EB081D" w:rsidRPr="004E10B7" w:rsidRDefault="00EB081D"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Tierra d.F.</w:t>
            </w:r>
          </w:p>
        </w:tc>
        <w:tc>
          <w:tcPr>
            <w:tcW w:w="1135" w:type="dxa"/>
            <w:tcBorders>
              <w:top w:val="nil"/>
              <w:left w:val="nil"/>
              <w:bottom w:val="single" w:sz="4" w:space="0" w:color="auto"/>
              <w:right w:val="single" w:sz="4" w:space="0" w:color="auto"/>
            </w:tcBorders>
            <w:shd w:val="clear" w:color="000000" w:fill="FFFFFF"/>
            <w:noWrap/>
            <w:vAlign w:val="bottom"/>
            <w:hideMark/>
          </w:tcPr>
          <w:p w14:paraId="34BF64DD"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1.443</w:t>
            </w:r>
          </w:p>
        </w:tc>
        <w:tc>
          <w:tcPr>
            <w:tcW w:w="1135" w:type="dxa"/>
            <w:tcBorders>
              <w:top w:val="nil"/>
              <w:left w:val="nil"/>
              <w:bottom w:val="single" w:sz="4" w:space="0" w:color="auto"/>
              <w:right w:val="single" w:sz="4" w:space="0" w:color="auto"/>
            </w:tcBorders>
            <w:shd w:val="clear" w:color="000000" w:fill="FFFFFF"/>
            <w:noWrap/>
            <w:vAlign w:val="bottom"/>
            <w:hideMark/>
          </w:tcPr>
          <w:p w14:paraId="2D8D37F8"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1.792</w:t>
            </w:r>
          </w:p>
        </w:tc>
        <w:tc>
          <w:tcPr>
            <w:tcW w:w="1330" w:type="dxa"/>
            <w:tcBorders>
              <w:top w:val="nil"/>
              <w:left w:val="nil"/>
              <w:bottom w:val="single" w:sz="4" w:space="0" w:color="auto"/>
              <w:right w:val="single" w:sz="4" w:space="0" w:color="auto"/>
            </w:tcBorders>
            <w:shd w:val="clear" w:color="000000" w:fill="FFFFFF"/>
            <w:noWrap/>
            <w:vAlign w:val="bottom"/>
            <w:hideMark/>
          </w:tcPr>
          <w:p w14:paraId="1DA8FC17"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3.532</w:t>
            </w:r>
          </w:p>
        </w:tc>
        <w:tc>
          <w:tcPr>
            <w:tcW w:w="1200" w:type="dxa"/>
            <w:tcBorders>
              <w:top w:val="nil"/>
              <w:left w:val="nil"/>
              <w:bottom w:val="single" w:sz="4" w:space="0" w:color="auto"/>
              <w:right w:val="single" w:sz="4" w:space="0" w:color="auto"/>
            </w:tcBorders>
            <w:shd w:val="clear" w:color="000000" w:fill="FFFFFF"/>
            <w:noWrap/>
            <w:vAlign w:val="bottom"/>
            <w:hideMark/>
          </w:tcPr>
          <w:p w14:paraId="76DBAD68"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124,19</w:t>
            </w:r>
          </w:p>
        </w:tc>
        <w:tc>
          <w:tcPr>
            <w:tcW w:w="1200" w:type="dxa"/>
            <w:tcBorders>
              <w:top w:val="nil"/>
              <w:left w:val="nil"/>
              <w:bottom w:val="single" w:sz="4" w:space="0" w:color="auto"/>
              <w:right w:val="single" w:sz="4" w:space="0" w:color="auto"/>
            </w:tcBorders>
            <w:shd w:val="clear" w:color="000000" w:fill="FFFFFF"/>
            <w:noWrap/>
            <w:vAlign w:val="bottom"/>
            <w:hideMark/>
          </w:tcPr>
          <w:p w14:paraId="649871AE"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244,73</w:t>
            </w:r>
          </w:p>
        </w:tc>
      </w:tr>
      <w:tr w:rsidR="004E10B7" w:rsidRPr="004E10B7" w14:paraId="21492E8E" w14:textId="77777777" w:rsidTr="008A32EC">
        <w:trPr>
          <w:trHeight w:val="300"/>
          <w:jc w:val="center"/>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14:paraId="176180AC" w14:textId="77777777" w:rsidR="00EB081D" w:rsidRPr="004E10B7" w:rsidRDefault="00EB081D" w:rsidP="008B5D7F">
            <w:pPr>
              <w:spacing w:after="0" w:line="240" w:lineRule="auto"/>
              <w:ind w:firstLine="0"/>
              <w:jc w:val="left"/>
              <w:rPr>
                <w:rFonts w:ascii="Calibri" w:eastAsia="Times New Roman" w:hAnsi="Calibri" w:cs="Calibri"/>
                <w:lang w:val="es-AR" w:eastAsia="es-AR"/>
              </w:rPr>
            </w:pPr>
            <w:r w:rsidRPr="004E10B7">
              <w:rPr>
                <w:rFonts w:ascii="Calibri" w:eastAsia="Times New Roman" w:hAnsi="Calibri" w:cs="Calibri"/>
                <w:lang w:val="es-AR" w:eastAsia="es-AR"/>
              </w:rPr>
              <w:t>Tucu.</w:t>
            </w:r>
          </w:p>
        </w:tc>
        <w:tc>
          <w:tcPr>
            <w:tcW w:w="1135" w:type="dxa"/>
            <w:tcBorders>
              <w:top w:val="nil"/>
              <w:left w:val="nil"/>
              <w:bottom w:val="single" w:sz="4" w:space="0" w:color="auto"/>
              <w:right w:val="single" w:sz="4" w:space="0" w:color="auto"/>
            </w:tcBorders>
            <w:shd w:val="clear" w:color="000000" w:fill="FFFFFF"/>
            <w:noWrap/>
            <w:vAlign w:val="bottom"/>
            <w:hideMark/>
          </w:tcPr>
          <w:p w14:paraId="1291F7B7"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4.366</w:t>
            </w:r>
          </w:p>
        </w:tc>
        <w:tc>
          <w:tcPr>
            <w:tcW w:w="1135" w:type="dxa"/>
            <w:tcBorders>
              <w:top w:val="nil"/>
              <w:left w:val="nil"/>
              <w:bottom w:val="single" w:sz="4" w:space="0" w:color="auto"/>
              <w:right w:val="single" w:sz="4" w:space="0" w:color="auto"/>
            </w:tcBorders>
            <w:shd w:val="clear" w:color="000000" w:fill="FFFFFF"/>
            <w:noWrap/>
            <w:vAlign w:val="bottom"/>
            <w:hideMark/>
          </w:tcPr>
          <w:p w14:paraId="04D8E7EC"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4.631</w:t>
            </w:r>
          </w:p>
        </w:tc>
        <w:tc>
          <w:tcPr>
            <w:tcW w:w="1330" w:type="dxa"/>
            <w:tcBorders>
              <w:top w:val="nil"/>
              <w:left w:val="nil"/>
              <w:bottom w:val="single" w:sz="4" w:space="0" w:color="auto"/>
              <w:right w:val="single" w:sz="4" w:space="0" w:color="auto"/>
            </w:tcBorders>
            <w:shd w:val="clear" w:color="000000" w:fill="FFFFFF"/>
            <w:noWrap/>
            <w:vAlign w:val="bottom"/>
            <w:hideMark/>
          </w:tcPr>
          <w:p w14:paraId="1046044E"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6.667</w:t>
            </w:r>
          </w:p>
        </w:tc>
        <w:tc>
          <w:tcPr>
            <w:tcW w:w="1200" w:type="dxa"/>
            <w:tcBorders>
              <w:top w:val="nil"/>
              <w:left w:val="nil"/>
              <w:bottom w:val="single" w:sz="4" w:space="0" w:color="auto"/>
              <w:right w:val="single" w:sz="4" w:space="0" w:color="auto"/>
            </w:tcBorders>
            <w:shd w:val="clear" w:color="000000" w:fill="FFFFFF"/>
            <w:noWrap/>
            <w:vAlign w:val="bottom"/>
            <w:hideMark/>
          </w:tcPr>
          <w:p w14:paraId="691FE752"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106,07</w:t>
            </w:r>
          </w:p>
        </w:tc>
        <w:tc>
          <w:tcPr>
            <w:tcW w:w="1200" w:type="dxa"/>
            <w:tcBorders>
              <w:top w:val="nil"/>
              <w:left w:val="nil"/>
              <w:bottom w:val="single" w:sz="4" w:space="0" w:color="auto"/>
              <w:right w:val="single" w:sz="4" w:space="0" w:color="auto"/>
            </w:tcBorders>
            <w:shd w:val="clear" w:color="000000" w:fill="FFFFFF"/>
            <w:noWrap/>
            <w:vAlign w:val="bottom"/>
            <w:hideMark/>
          </w:tcPr>
          <w:p w14:paraId="07FA1D78" w14:textId="77777777" w:rsidR="00EB081D" w:rsidRPr="004E10B7" w:rsidRDefault="00EB081D" w:rsidP="008B5D7F">
            <w:pPr>
              <w:spacing w:after="0" w:line="240" w:lineRule="auto"/>
              <w:ind w:firstLine="0"/>
              <w:jc w:val="right"/>
              <w:rPr>
                <w:rFonts w:ascii="Calibri" w:eastAsia="Times New Roman" w:hAnsi="Calibri" w:cs="Calibri"/>
                <w:lang w:val="es-AR" w:eastAsia="es-AR"/>
              </w:rPr>
            </w:pPr>
            <w:r w:rsidRPr="004E10B7">
              <w:rPr>
                <w:rFonts w:ascii="Calibri" w:eastAsia="Times New Roman" w:hAnsi="Calibri" w:cs="Calibri"/>
                <w:lang w:val="es-AR" w:eastAsia="es-AR"/>
              </w:rPr>
              <w:t>152,72</w:t>
            </w:r>
          </w:p>
        </w:tc>
      </w:tr>
    </w:tbl>
    <w:p w14:paraId="220A4AF4" w14:textId="77777777" w:rsidR="007163AB" w:rsidRPr="004E10B7" w:rsidRDefault="007163AB" w:rsidP="008B5D7F">
      <w:pPr>
        <w:spacing w:line="240" w:lineRule="auto"/>
        <w:jc w:val="center"/>
        <w:rPr>
          <w:rFonts w:cstheme="minorHAnsi"/>
          <w:sz w:val="16"/>
          <w:szCs w:val="16"/>
          <w:lang w:val="es-AR"/>
        </w:rPr>
      </w:pPr>
      <w:r w:rsidRPr="004E10B7">
        <w:rPr>
          <w:rFonts w:cstheme="minorHAnsi"/>
          <w:sz w:val="16"/>
          <w:szCs w:val="16"/>
          <w:lang w:val="es-AR"/>
        </w:rPr>
        <w:t>Fuente: Elaboración propia.</w:t>
      </w:r>
    </w:p>
    <w:p w14:paraId="62C29D92" w14:textId="3232FC9C" w:rsidR="00341EA4" w:rsidRPr="004E10B7" w:rsidRDefault="00341EA4" w:rsidP="008B5D7F">
      <w:pPr>
        <w:spacing w:line="240" w:lineRule="auto"/>
        <w:rPr>
          <w:rFonts w:cstheme="minorHAnsi"/>
          <w:lang w:val="es-AR"/>
        </w:rPr>
      </w:pPr>
      <w:r w:rsidRPr="004E10B7">
        <w:rPr>
          <w:rFonts w:cstheme="minorHAnsi"/>
          <w:lang w:val="es-AR"/>
        </w:rPr>
        <w:t>Respecto a los “órdenes” relativos de capacidad fiscal según CF2 se observa, como en el caso de CF1, estabilidad en el tiempo en los puestos ocupados, aunque el orden de las provincias no es el mismo que en el caso de CF1. Para CF2 se destaca las mejores en el orden relativo de las provincias de Catamarca, Santa Cruz y Chubut.</w:t>
      </w:r>
    </w:p>
    <w:p w14:paraId="406312E4" w14:textId="152E6605" w:rsidR="009310BA" w:rsidRPr="004E10B7" w:rsidRDefault="009310BA" w:rsidP="008B5D7F">
      <w:pPr>
        <w:spacing w:line="240" w:lineRule="auto"/>
        <w:rPr>
          <w:rFonts w:cstheme="minorHAnsi"/>
          <w:lang w:val="es-AR"/>
        </w:rPr>
      </w:pPr>
      <w:r w:rsidRPr="004E10B7">
        <w:rPr>
          <w:rFonts w:cstheme="minorHAnsi"/>
          <w:lang w:val="es-AR"/>
        </w:rPr>
        <w:t xml:space="preserve">Se presenta a continuación un gráfico </w:t>
      </w:r>
      <w:r w:rsidR="001E1BF4">
        <w:rPr>
          <w:rFonts w:cstheme="minorHAnsi"/>
          <w:lang w:val="es-AR"/>
        </w:rPr>
        <w:t>de dispersión,</w:t>
      </w:r>
      <w:r w:rsidRPr="004E10B7">
        <w:rPr>
          <w:rFonts w:cstheme="minorHAnsi"/>
          <w:lang w:val="es-AR"/>
        </w:rPr>
        <w:t xml:space="preserve"> esta vez para CF2 e IREF1.</w:t>
      </w:r>
      <w:r w:rsidR="00F80AE8" w:rsidRPr="004E10B7">
        <w:rPr>
          <w:rFonts w:cstheme="minorHAnsi"/>
          <w:lang w:val="es-AR"/>
        </w:rPr>
        <w:t xml:space="preserve"> </w:t>
      </w:r>
      <w:r w:rsidRPr="004E10B7">
        <w:rPr>
          <w:rFonts w:cstheme="minorHAnsi"/>
          <w:lang w:val="es-AR"/>
        </w:rPr>
        <w:t xml:space="preserve">Para su construcción se calculó el EF y CF promedio de los valores de </w:t>
      </w:r>
      <w:r w:rsidR="00F80AE8" w:rsidRPr="004E10B7">
        <w:rPr>
          <w:rFonts w:cstheme="minorHAnsi"/>
          <w:lang w:val="es-AR"/>
        </w:rPr>
        <w:t>IR</w:t>
      </w:r>
      <w:r w:rsidRPr="004E10B7">
        <w:rPr>
          <w:rFonts w:cstheme="minorHAnsi"/>
          <w:lang w:val="es-AR"/>
        </w:rPr>
        <w:t>EF</w:t>
      </w:r>
      <w:r w:rsidR="00F80AE8" w:rsidRPr="004E10B7">
        <w:rPr>
          <w:rFonts w:cstheme="minorHAnsi"/>
          <w:lang w:val="es-AR"/>
        </w:rPr>
        <w:t>1</w:t>
      </w:r>
      <w:r w:rsidRPr="004E10B7">
        <w:rPr>
          <w:rFonts w:cstheme="minorHAnsi"/>
          <w:lang w:val="es-AR"/>
        </w:rPr>
        <w:t xml:space="preserve"> y CF</w:t>
      </w:r>
      <w:r w:rsidR="00F80AE8" w:rsidRPr="004E10B7">
        <w:rPr>
          <w:rFonts w:cstheme="minorHAnsi"/>
          <w:lang w:val="es-AR"/>
        </w:rPr>
        <w:t>2</w:t>
      </w:r>
      <w:r w:rsidRPr="004E10B7">
        <w:rPr>
          <w:rFonts w:cstheme="minorHAnsi"/>
          <w:lang w:val="es-AR"/>
        </w:rPr>
        <w:t xml:space="preserve"> para cada provincia de todo el periodo analizado (promedio del valor de CF y EF de cada provincia en el periodo 1993-2014). Aquellas provincias que se encuentran en el cuadrante superior derecho, delimitado por las medias de CF y EF, son aquellas que presentaron, en promedio, mayor CF y EF. Estas provincias son CABA</w:t>
      </w:r>
      <w:r w:rsidR="00F80AE8" w:rsidRPr="004E10B7">
        <w:rPr>
          <w:rFonts w:cstheme="minorHAnsi"/>
          <w:lang w:val="es-AR"/>
        </w:rPr>
        <w:t>, Buenos Aires, Santa Fe y Córdoba</w:t>
      </w:r>
      <w:r w:rsidRPr="004E10B7">
        <w:rPr>
          <w:rFonts w:cstheme="minorHAnsi"/>
          <w:lang w:val="es-AR"/>
        </w:rPr>
        <w:t>.</w:t>
      </w:r>
    </w:p>
    <w:p w14:paraId="1433FB53" w14:textId="553EA0A4" w:rsidR="009310BA" w:rsidRPr="004E10B7" w:rsidRDefault="009310BA" w:rsidP="008B5D7F">
      <w:pPr>
        <w:spacing w:line="240" w:lineRule="auto"/>
        <w:rPr>
          <w:rFonts w:cstheme="minorHAnsi"/>
          <w:lang w:val="es-AR"/>
        </w:rPr>
      </w:pPr>
      <w:r w:rsidRPr="004E10B7">
        <w:rPr>
          <w:rFonts w:cstheme="minorHAnsi"/>
          <w:lang w:val="es-AR"/>
        </w:rPr>
        <w:t>En el cuadrante inferior izquierdo se ubican las provincias que presentaron tanto CF como EF menor a la media. Entre las provincias en esta situación se puede mencionar a La Rioja</w:t>
      </w:r>
      <w:r w:rsidR="00F80AE8" w:rsidRPr="004E10B7">
        <w:rPr>
          <w:rFonts w:cstheme="minorHAnsi"/>
          <w:lang w:val="es-AR"/>
        </w:rPr>
        <w:t>, Catamarca</w:t>
      </w:r>
      <w:r w:rsidRPr="004E10B7">
        <w:rPr>
          <w:rFonts w:cstheme="minorHAnsi"/>
          <w:lang w:val="es-AR"/>
        </w:rPr>
        <w:t>, Formosa y Mendoza.</w:t>
      </w:r>
    </w:p>
    <w:p w14:paraId="293D5AA6" w14:textId="04960A61" w:rsidR="009310BA" w:rsidRPr="004E10B7" w:rsidRDefault="009310BA" w:rsidP="008B5D7F">
      <w:pPr>
        <w:spacing w:line="240" w:lineRule="auto"/>
        <w:rPr>
          <w:rFonts w:cstheme="minorHAnsi"/>
          <w:lang w:val="es-AR"/>
        </w:rPr>
      </w:pPr>
      <w:r w:rsidRPr="004E10B7">
        <w:rPr>
          <w:rFonts w:cstheme="minorHAnsi"/>
          <w:lang w:val="es-AR"/>
        </w:rPr>
        <w:lastRenderedPageBreak/>
        <w:t xml:space="preserve">El cuadrante inferior derecho engloba a aquellas provincias que presentaron un esfuerzo fiscal superior al promedio, pero cuya capacidad fiscal es menor a la media de las provincias argentinas. Entre las provincias que se ubican en este lugar se puede mencionar a </w:t>
      </w:r>
      <w:r w:rsidR="00F80AE8" w:rsidRPr="004E10B7">
        <w:rPr>
          <w:rFonts w:cstheme="minorHAnsi"/>
          <w:lang w:val="es-AR"/>
        </w:rPr>
        <w:t>Neuquén, Salta</w:t>
      </w:r>
      <w:r w:rsidRPr="004E10B7">
        <w:rPr>
          <w:rFonts w:cstheme="minorHAnsi"/>
          <w:lang w:val="es-AR"/>
        </w:rPr>
        <w:t xml:space="preserve"> y Misiones.</w:t>
      </w:r>
    </w:p>
    <w:p w14:paraId="0B18E550" w14:textId="52E7CB92" w:rsidR="00F80AE8" w:rsidRPr="004E10B7" w:rsidRDefault="00F80AE8" w:rsidP="008B5D7F">
      <w:pPr>
        <w:spacing w:line="240" w:lineRule="auto"/>
        <w:rPr>
          <w:rFonts w:cstheme="minorHAnsi"/>
          <w:lang w:val="es-AR"/>
        </w:rPr>
      </w:pPr>
      <w:r w:rsidRPr="004E10B7">
        <w:rPr>
          <w:rFonts w:cstheme="minorHAnsi"/>
          <w:lang w:val="es-AR"/>
        </w:rPr>
        <w:t>Las ubicaciones en los cuadrantes difieren a las presentadas en el gráfico de EF1 y CF1 principalmente en la ubicación relativa que tiene cada provincia en términos de capacidad fiscal.</w:t>
      </w:r>
    </w:p>
    <w:p w14:paraId="1B4D398E" w14:textId="348F7482" w:rsidR="006B4C89" w:rsidRPr="00E95008" w:rsidRDefault="006B4C89" w:rsidP="008B5D7F">
      <w:pPr>
        <w:pStyle w:val="Prrafodelista"/>
        <w:numPr>
          <w:ilvl w:val="0"/>
          <w:numId w:val="5"/>
        </w:numPr>
        <w:spacing w:line="240" w:lineRule="auto"/>
        <w:rPr>
          <w:b/>
          <w:lang w:val="es-AR"/>
        </w:rPr>
      </w:pPr>
      <w:r w:rsidRPr="00E95008">
        <w:rPr>
          <w:b/>
          <w:lang w:val="es-AR"/>
        </w:rPr>
        <w:t>Dispersión respecto de la media de EF y CF de las provincias argentinas. Promedio 1993-2014. - PBG y IREF1.</w:t>
      </w:r>
    </w:p>
    <w:p w14:paraId="56EAE85C" w14:textId="59AE3591" w:rsidR="00EB081D" w:rsidRPr="004E10B7" w:rsidRDefault="00EB081D" w:rsidP="008B5D7F">
      <w:pPr>
        <w:spacing w:line="240" w:lineRule="auto"/>
        <w:jc w:val="center"/>
        <w:rPr>
          <w:rFonts w:cstheme="minorHAnsi"/>
          <w:lang w:val="es-AR"/>
        </w:rPr>
      </w:pPr>
      <w:r w:rsidRPr="004E10B7">
        <w:rPr>
          <w:rFonts w:cstheme="minorHAnsi"/>
          <w:noProof/>
          <w:lang w:val="es-AR" w:eastAsia="es-AR"/>
        </w:rPr>
        <w:drawing>
          <wp:inline distT="0" distB="0" distL="0" distR="0" wp14:anchorId="2B941786" wp14:editId="6ECF7801">
            <wp:extent cx="4511953" cy="2640193"/>
            <wp:effectExtent l="0" t="0" r="0" b="8255"/>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20869" cy="2645410"/>
                    </a:xfrm>
                    <a:prstGeom prst="rect">
                      <a:avLst/>
                    </a:prstGeom>
                    <a:noFill/>
                  </pic:spPr>
                </pic:pic>
              </a:graphicData>
            </a:graphic>
          </wp:inline>
        </w:drawing>
      </w:r>
    </w:p>
    <w:p w14:paraId="4A1BE72F" w14:textId="77777777" w:rsidR="007163AB" w:rsidRPr="004E10B7" w:rsidRDefault="007163AB" w:rsidP="008B5D7F">
      <w:pPr>
        <w:spacing w:line="240" w:lineRule="auto"/>
        <w:jc w:val="center"/>
        <w:rPr>
          <w:rFonts w:cstheme="minorHAnsi"/>
          <w:sz w:val="16"/>
          <w:szCs w:val="16"/>
          <w:lang w:val="es-AR"/>
        </w:rPr>
      </w:pPr>
      <w:r w:rsidRPr="004E10B7">
        <w:rPr>
          <w:rFonts w:cstheme="minorHAnsi"/>
          <w:sz w:val="16"/>
          <w:szCs w:val="16"/>
          <w:lang w:val="es-AR"/>
        </w:rPr>
        <w:t>Fuente: Elaboración propia.</w:t>
      </w:r>
    </w:p>
    <w:p w14:paraId="79902B6B" w14:textId="01F4476A" w:rsidR="006B4C89" w:rsidRPr="00E95008" w:rsidRDefault="006B4C89" w:rsidP="008B5D7F">
      <w:pPr>
        <w:pStyle w:val="Prrafodelista"/>
        <w:numPr>
          <w:ilvl w:val="0"/>
          <w:numId w:val="5"/>
        </w:numPr>
        <w:spacing w:line="240" w:lineRule="auto"/>
        <w:rPr>
          <w:b/>
          <w:lang w:val="es-AR"/>
        </w:rPr>
      </w:pPr>
      <w:r w:rsidRPr="00E95008">
        <w:rPr>
          <w:b/>
          <w:lang w:val="es-AR"/>
        </w:rPr>
        <w:t>Dispersión respecto de la media de EF y CF de las provincias argentinas. Promedio 1993-2014. - PBG y IREF1. - Continuación</w:t>
      </w:r>
    </w:p>
    <w:p w14:paraId="53A81A2D" w14:textId="01D1BAD6" w:rsidR="00EB081D" w:rsidRPr="004E10B7" w:rsidRDefault="00EB081D" w:rsidP="008B5D7F">
      <w:pPr>
        <w:spacing w:line="240" w:lineRule="auto"/>
        <w:jc w:val="center"/>
        <w:rPr>
          <w:rFonts w:cstheme="minorHAnsi"/>
          <w:lang w:val="es-AR"/>
        </w:rPr>
      </w:pPr>
      <w:r w:rsidRPr="004E10B7">
        <w:rPr>
          <w:rFonts w:cstheme="minorHAnsi"/>
          <w:noProof/>
          <w:lang w:val="es-AR" w:eastAsia="es-AR"/>
        </w:rPr>
        <w:drawing>
          <wp:inline distT="0" distB="0" distL="0" distR="0" wp14:anchorId="6EAB07AA" wp14:editId="012D40E1">
            <wp:extent cx="4190566" cy="2481942"/>
            <wp:effectExtent l="0" t="0" r="0" b="0"/>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97540" cy="2486073"/>
                    </a:xfrm>
                    <a:prstGeom prst="rect">
                      <a:avLst/>
                    </a:prstGeom>
                    <a:noFill/>
                  </pic:spPr>
                </pic:pic>
              </a:graphicData>
            </a:graphic>
          </wp:inline>
        </w:drawing>
      </w:r>
    </w:p>
    <w:p w14:paraId="775848A2" w14:textId="77777777" w:rsidR="007163AB" w:rsidRPr="004E10B7" w:rsidRDefault="007163AB" w:rsidP="008B5D7F">
      <w:pPr>
        <w:spacing w:line="240" w:lineRule="auto"/>
        <w:jc w:val="center"/>
        <w:rPr>
          <w:rFonts w:cstheme="minorHAnsi"/>
          <w:sz w:val="16"/>
          <w:szCs w:val="16"/>
          <w:lang w:val="es-AR"/>
        </w:rPr>
      </w:pPr>
      <w:r w:rsidRPr="004E10B7">
        <w:rPr>
          <w:rFonts w:cstheme="minorHAnsi"/>
          <w:sz w:val="16"/>
          <w:szCs w:val="16"/>
          <w:lang w:val="es-AR"/>
        </w:rPr>
        <w:t>Fuente: Elaboración propia.</w:t>
      </w:r>
    </w:p>
    <w:p w14:paraId="21798831" w14:textId="1374F0E8" w:rsidR="00F80AE8" w:rsidRPr="004E10B7" w:rsidRDefault="00F80AE8" w:rsidP="008B5D7F">
      <w:pPr>
        <w:spacing w:line="240" w:lineRule="auto"/>
        <w:rPr>
          <w:rFonts w:cstheme="minorHAnsi"/>
          <w:lang w:val="es-AR"/>
        </w:rPr>
      </w:pPr>
      <w:r w:rsidRPr="004E10B7">
        <w:rPr>
          <w:rFonts w:cstheme="minorHAnsi"/>
          <w:lang w:val="es-AR"/>
        </w:rPr>
        <w:t xml:space="preserve">En cuanto a las relaciones entre variables, indicadas por los coeficientes de correlación, se obtiene que existe una relación positiva entre ingresos propios y la capacidad fiscal, medida tanto </w:t>
      </w:r>
      <w:r w:rsidRPr="004E10B7">
        <w:rPr>
          <w:rFonts w:cstheme="minorHAnsi"/>
          <w:lang w:val="es-AR"/>
        </w:rPr>
        <w:lastRenderedPageBreak/>
        <w:t xml:space="preserve">por CF2 como por CF1, confirmando </w:t>
      </w:r>
      <w:r w:rsidR="00CA749A" w:rsidRPr="004E10B7">
        <w:rPr>
          <w:rFonts w:cstheme="minorHAnsi"/>
          <w:lang w:val="es-AR"/>
        </w:rPr>
        <w:t>la hipótesis de que las provincias con mayores ingresos propios tienen mayor capacidad fiscal.</w:t>
      </w:r>
    </w:p>
    <w:p w14:paraId="084AAD01" w14:textId="6E56EBF7" w:rsidR="00CA749A" w:rsidRPr="004E10B7" w:rsidRDefault="00CA749A" w:rsidP="008B5D7F">
      <w:pPr>
        <w:spacing w:line="240" w:lineRule="auto"/>
        <w:rPr>
          <w:rFonts w:cstheme="minorHAnsi"/>
          <w:lang w:val="es-AR"/>
        </w:rPr>
      </w:pPr>
      <w:r w:rsidRPr="004E10B7">
        <w:rPr>
          <w:rFonts w:cstheme="minorHAnsi"/>
          <w:lang w:val="es-AR"/>
        </w:rPr>
        <w:t>Las transferencias no automáticas, o discrecionales, presentan un coeficiente de correlación negativo con el esfuerzo fiscal medido tanto por IREF1 como por EF1, corroborando la hipótesis de que existe una relación negativa entre las transferencias no automáticas y el esfuerzo fiscal.</w:t>
      </w:r>
    </w:p>
    <w:p w14:paraId="2505E60B" w14:textId="619B6AD0" w:rsidR="00CA749A" w:rsidRPr="004E10B7" w:rsidRDefault="00CA749A" w:rsidP="008B5D7F">
      <w:pPr>
        <w:spacing w:line="240" w:lineRule="auto"/>
        <w:rPr>
          <w:rFonts w:cstheme="minorHAnsi"/>
          <w:lang w:val="es-AR"/>
        </w:rPr>
      </w:pPr>
      <w:r w:rsidRPr="004E10B7">
        <w:rPr>
          <w:rFonts w:cstheme="minorHAnsi"/>
          <w:lang w:val="es-AR"/>
        </w:rPr>
        <w:t>Por su parte el coeficiente de correlación entre CF y EF da positivo, resultado que no coincide con la hipótesis planteada de que las provincias con mayor capacidad fiscal no hacen el mayor esfuerzo fiscal.</w:t>
      </w:r>
    </w:p>
    <w:p w14:paraId="754A4C09" w14:textId="576CAADC" w:rsidR="0037764C" w:rsidRDefault="0037764C" w:rsidP="008B5D7F">
      <w:pPr>
        <w:spacing w:line="240" w:lineRule="auto"/>
        <w:rPr>
          <w:rFonts w:cstheme="minorHAnsi"/>
          <w:lang w:val="es-AR"/>
        </w:rPr>
      </w:pPr>
      <w:r w:rsidRPr="004E10B7">
        <w:rPr>
          <w:rFonts w:cstheme="minorHAnsi"/>
          <w:lang w:val="es-AR"/>
        </w:rPr>
        <w:t xml:space="preserve">También se calculó el coeficiente de correlación de la participación de los ingresos brutos en los ingresos propios con el esfuerzo fiscal de las provincias argentinas. Tanto para IREF1 como para EF1 </w:t>
      </w:r>
      <w:r w:rsidR="005E6C7D" w:rsidRPr="004E10B7">
        <w:rPr>
          <w:rFonts w:cstheme="minorHAnsi"/>
          <w:lang w:val="es-AR"/>
        </w:rPr>
        <w:t xml:space="preserve">este coeficiente indicaría una relación positiva. </w:t>
      </w:r>
      <w:r w:rsidR="0035685F">
        <w:rPr>
          <w:rFonts w:cstheme="minorHAnsi"/>
          <w:lang w:val="es-AR"/>
        </w:rPr>
        <w:t>S</w:t>
      </w:r>
      <w:r w:rsidR="005E6C7D" w:rsidRPr="004E10B7">
        <w:rPr>
          <w:rFonts w:cstheme="minorHAnsi"/>
          <w:lang w:val="es-AR"/>
        </w:rPr>
        <w:t>ería lógico esperar que si una provincia obtiene un porcentaje mayor de sus ingresos propios del impuesto considerado para los cálculos de esfuerzo fiscal, se puede estar sobreestimando el esfuerzo fiscal que realiza esta provincia en relación a aquellas que obtienen un porcentaje de ingresos menor a partir de ingresos brutos. Esto resalta la necesidad de estudiar y trabajar en la confección de bases estadísticas homogéneas completas que permitan mejorar el análisis.</w:t>
      </w:r>
    </w:p>
    <w:p w14:paraId="192AB990" w14:textId="77777777" w:rsidR="00875F82" w:rsidRPr="004E10B7" w:rsidRDefault="00875F82" w:rsidP="008B5D7F">
      <w:pPr>
        <w:spacing w:line="240" w:lineRule="auto"/>
        <w:rPr>
          <w:lang w:val="es-MX"/>
        </w:rPr>
      </w:pPr>
      <w:r w:rsidRPr="004E10B7">
        <w:rPr>
          <w:lang w:val="es-MX"/>
        </w:rPr>
        <w:t>Dado que la correspondencia fiscal entre gastos e ingresos resulta importante para evaluar la responsabilidad fiscal de una provincia se decidió calcular el coeficiente de correlación entre los ratios de EF y el déficit fiscal. A estos efectos se calculó la correlación del resultado primario y del resultado financiero con EF1 e IREF1. Ambos coeficientes dieron negativos lo que pareciera indicar que el mayor esfuerzo fiscal evidenciado por las provincias está relacionado con mayores déficits o menores superávits fiscales.</w:t>
      </w:r>
    </w:p>
    <w:p w14:paraId="171D7692" w14:textId="77777777" w:rsidR="00875F82" w:rsidRPr="004E10B7" w:rsidRDefault="00875F82" w:rsidP="008B5D7F">
      <w:pPr>
        <w:spacing w:line="240" w:lineRule="auto"/>
        <w:rPr>
          <w:lang w:val="es-MX"/>
        </w:rPr>
      </w:pPr>
      <w:r w:rsidRPr="004E10B7">
        <w:rPr>
          <w:lang w:val="es-MX"/>
        </w:rPr>
        <w:t>Se resalta la importancia de avanzar en trabajos posteriores en el análisis, e impacto, de los distintos tipos de gastos provinciales con el esfuerzo fiscal, como así también su relación con la situación fiscal y la deuda pública contraída.</w:t>
      </w:r>
    </w:p>
    <w:p w14:paraId="11084EE7" w14:textId="390EE7D0" w:rsidR="00CF6FFB" w:rsidRPr="00E95008" w:rsidRDefault="00CA749A" w:rsidP="008B5D7F">
      <w:pPr>
        <w:pStyle w:val="Prrafodelista"/>
        <w:numPr>
          <w:ilvl w:val="0"/>
          <w:numId w:val="4"/>
        </w:numPr>
        <w:spacing w:line="240" w:lineRule="auto"/>
        <w:rPr>
          <w:b/>
          <w:lang w:val="es-MX"/>
        </w:rPr>
      </w:pPr>
      <w:r w:rsidRPr="00E95008">
        <w:rPr>
          <w:b/>
          <w:lang w:val="es-MX"/>
        </w:rPr>
        <w:t>Correlación de los distintos cálculos de EF y CF.</w:t>
      </w:r>
    </w:p>
    <w:tbl>
      <w:tblPr>
        <w:tblW w:w="6040" w:type="dxa"/>
        <w:jc w:val="center"/>
        <w:tblCellMar>
          <w:left w:w="70" w:type="dxa"/>
          <w:right w:w="70" w:type="dxa"/>
        </w:tblCellMar>
        <w:tblLook w:val="04A0" w:firstRow="1" w:lastRow="0" w:firstColumn="1" w:lastColumn="0" w:noHBand="0" w:noVBand="1"/>
      </w:tblPr>
      <w:tblGrid>
        <w:gridCol w:w="3420"/>
        <w:gridCol w:w="1420"/>
        <w:gridCol w:w="1200"/>
      </w:tblGrid>
      <w:tr w:rsidR="00631A1A" w:rsidRPr="00631A1A" w14:paraId="62424C97" w14:textId="77777777" w:rsidTr="00631A1A">
        <w:trPr>
          <w:trHeight w:val="300"/>
          <w:jc w:val="center"/>
        </w:trPr>
        <w:tc>
          <w:tcPr>
            <w:tcW w:w="3420" w:type="dxa"/>
            <w:tcBorders>
              <w:top w:val="nil"/>
              <w:left w:val="nil"/>
              <w:bottom w:val="nil"/>
              <w:right w:val="nil"/>
            </w:tcBorders>
            <w:shd w:val="clear" w:color="000000" w:fill="FFFFFF"/>
            <w:noWrap/>
            <w:vAlign w:val="bottom"/>
            <w:hideMark/>
          </w:tcPr>
          <w:p w14:paraId="02C97148" w14:textId="77777777" w:rsidR="00631A1A" w:rsidRPr="00631A1A" w:rsidRDefault="00631A1A" w:rsidP="008B5D7F">
            <w:pPr>
              <w:spacing w:after="0" w:line="240" w:lineRule="auto"/>
              <w:ind w:firstLine="0"/>
              <w:jc w:val="left"/>
              <w:rPr>
                <w:rFonts w:ascii="Calibri" w:eastAsia="Times New Roman" w:hAnsi="Calibri" w:cs="Calibri"/>
                <w:color w:val="000000"/>
                <w:lang w:val="es-AR" w:eastAsia="es-AR"/>
              </w:rPr>
            </w:pPr>
            <w:r w:rsidRPr="00631A1A">
              <w:rPr>
                <w:rFonts w:ascii="Calibri" w:eastAsia="Times New Roman" w:hAnsi="Calibri" w:cs="Calibri"/>
                <w:color w:val="000000"/>
                <w:lang w:val="es-AR" w:eastAsia="es-AR"/>
              </w:rPr>
              <w:t> </w:t>
            </w:r>
          </w:p>
        </w:tc>
        <w:tc>
          <w:tcPr>
            <w:tcW w:w="1420"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050B8996" w14:textId="77777777" w:rsidR="00631A1A" w:rsidRPr="00631A1A" w:rsidRDefault="00631A1A" w:rsidP="008B5D7F">
            <w:pPr>
              <w:spacing w:after="0" w:line="240" w:lineRule="auto"/>
              <w:ind w:firstLine="0"/>
              <w:jc w:val="center"/>
              <w:rPr>
                <w:rFonts w:ascii="Calibri" w:eastAsia="Times New Roman" w:hAnsi="Calibri" w:cs="Calibri"/>
                <w:b/>
                <w:bCs/>
                <w:color w:val="FFFFFF" w:themeColor="background1"/>
                <w:lang w:val="es-AR" w:eastAsia="es-AR"/>
              </w:rPr>
            </w:pPr>
            <w:r w:rsidRPr="00631A1A">
              <w:rPr>
                <w:rFonts w:ascii="Calibri" w:eastAsia="Times New Roman" w:hAnsi="Calibri" w:cs="Calibri"/>
                <w:b/>
                <w:bCs/>
                <w:color w:val="FFFFFF" w:themeColor="background1"/>
                <w:lang w:val="es-AR" w:eastAsia="es-AR"/>
              </w:rPr>
              <w:t>PBG</w:t>
            </w:r>
          </w:p>
        </w:tc>
        <w:tc>
          <w:tcPr>
            <w:tcW w:w="1200" w:type="dxa"/>
            <w:tcBorders>
              <w:top w:val="single" w:sz="4" w:space="0" w:color="auto"/>
              <w:left w:val="nil"/>
              <w:bottom w:val="single" w:sz="4" w:space="0" w:color="auto"/>
              <w:right w:val="single" w:sz="4" w:space="0" w:color="auto"/>
            </w:tcBorders>
            <w:shd w:val="clear" w:color="auto" w:fill="808080" w:themeFill="background1" w:themeFillShade="80"/>
            <w:noWrap/>
            <w:vAlign w:val="center"/>
            <w:hideMark/>
          </w:tcPr>
          <w:p w14:paraId="26A9FC57" w14:textId="77777777" w:rsidR="00631A1A" w:rsidRPr="00631A1A" w:rsidRDefault="00631A1A" w:rsidP="008B5D7F">
            <w:pPr>
              <w:spacing w:after="0" w:line="240" w:lineRule="auto"/>
              <w:ind w:firstLine="0"/>
              <w:jc w:val="center"/>
              <w:rPr>
                <w:rFonts w:ascii="Calibri" w:eastAsia="Times New Roman" w:hAnsi="Calibri" w:cs="Calibri"/>
                <w:b/>
                <w:bCs/>
                <w:color w:val="FFFFFF" w:themeColor="background1"/>
                <w:lang w:val="es-AR" w:eastAsia="es-AR"/>
              </w:rPr>
            </w:pPr>
            <w:r w:rsidRPr="00631A1A">
              <w:rPr>
                <w:rFonts w:ascii="Calibri" w:eastAsia="Times New Roman" w:hAnsi="Calibri" w:cs="Calibri"/>
                <w:b/>
                <w:bCs/>
                <w:color w:val="FFFFFF" w:themeColor="background1"/>
                <w:lang w:val="es-AR" w:eastAsia="es-AR"/>
              </w:rPr>
              <w:t>CF1</w:t>
            </w:r>
          </w:p>
        </w:tc>
      </w:tr>
      <w:tr w:rsidR="00631A1A" w:rsidRPr="00631A1A" w14:paraId="18F33059" w14:textId="77777777" w:rsidTr="00631A1A">
        <w:trPr>
          <w:trHeight w:val="378"/>
          <w:jc w:val="center"/>
        </w:trPr>
        <w:tc>
          <w:tcPr>
            <w:tcW w:w="342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24813A40" w14:textId="77777777" w:rsidR="00631A1A" w:rsidRPr="00631A1A" w:rsidRDefault="00631A1A" w:rsidP="008B5D7F">
            <w:pPr>
              <w:spacing w:after="0" w:line="240" w:lineRule="auto"/>
              <w:ind w:firstLine="0"/>
              <w:jc w:val="center"/>
              <w:rPr>
                <w:rFonts w:ascii="Calibri" w:eastAsia="Times New Roman" w:hAnsi="Calibri" w:cs="Calibri"/>
                <w:b/>
                <w:bCs/>
                <w:color w:val="000000"/>
                <w:lang w:val="es-AR" w:eastAsia="es-AR"/>
              </w:rPr>
            </w:pPr>
            <w:r w:rsidRPr="00631A1A">
              <w:rPr>
                <w:rFonts w:ascii="Calibri" w:eastAsia="Times New Roman" w:hAnsi="Calibri" w:cs="Calibri"/>
                <w:b/>
                <w:bCs/>
                <w:color w:val="FFFFFF" w:themeColor="background1"/>
                <w:lang w:val="es-AR" w:eastAsia="es-AR"/>
              </w:rPr>
              <w:t>Ingresos Propios</w:t>
            </w:r>
          </w:p>
        </w:tc>
        <w:tc>
          <w:tcPr>
            <w:tcW w:w="1420" w:type="dxa"/>
            <w:tcBorders>
              <w:top w:val="nil"/>
              <w:left w:val="nil"/>
              <w:bottom w:val="single" w:sz="4" w:space="0" w:color="auto"/>
              <w:right w:val="single" w:sz="4" w:space="0" w:color="auto"/>
            </w:tcBorders>
            <w:shd w:val="clear" w:color="000000" w:fill="FFFFFF"/>
            <w:noWrap/>
            <w:vAlign w:val="center"/>
            <w:hideMark/>
          </w:tcPr>
          <w:p w14:paraId="0CA46EF0" w14:textId="77777777" w:rsidR="00631A1A" w:rsidRPr="00631A1A" w:rsidRDefault="00631A1A" w:rsidP="008B5D7F">
            <w:pPr>
              <w:spacing w:after="0" w:line="240" w:lineRule="auto"/>
              <w:ind w:firstLine="0"/>
              <w:jc w:val="center"/>
              <w:rPr>
                <w:rFonts w:ascii="Calibri" w:eastAsia="Times New Roman" w:hAnsi="Calibri" w:cs="Calibri"/>
                <w:color w:val="000000"/>
                <w:lang w:val="es-AR" w:eastAsia="es-AR"/>
              </w:rPr>
            </w:pPr>
            <w:r w:rsidRPr="00631A1A">
              <w:rPr>
                <w:rFonts w:ascii="Calibri" w:eastAsia="Times New Roman" w:hAnsi="Calibri" w:cs="Calibri"/>
                <w:color w:val="000000"/>
                <w:lang w:val="es-AR" w:eastAsia="es-AR"/>
              </w:rPr>
              <w:t>0,991</w:t>
            </w:r>
          </w:p>
        </w:tc>
        <w:tc>
          <w:tcPr>
            <w:tcW w:w="1200" w:type="dxa"/>
            <w:tcBorders>
              <w:top w:val="nil"/>
              <w:left w:val="nil"/>
              <w:bottom w:val="single" w:sz="4" w:space="0" w:color="auto"/>
              <w:right w:val="single" w:sz="4" w:space="0" w:color="auto"/>
            </w:tcBorders>
            <w:shd w:val="clear" w:color="000000" w:fill="FFFFFF"/>
            <w:noWrap/>
            <w:vAlign w:val="center"/>
            <w:hideMark/>
          </w:tcPr>
          <w:p w14:paraId="1B409DD2" w14:textId="77777777" w:rsidR="00631A1A" w:rsidRPr="00631A1A" w:rsidRDefault="00631A1A" w:rsidP="008B5D7F">
            <w:pPr>
              <w:spacing w:after="0" w:line="240" w:lineRule="auto"/>
              <w:ind w:firstLine="0"/>
              <w:jc w:val="center"/>
              <w:rPr>
                <w:rFonts w:ascii="Calibri" w:eastAsia="Times New Roman" w:hAnsi="Calibri" w:cs="Calibri"/>
                <w:color w:val="000000"/>
                <w:lang w:val="es-AR" w:eastAsia="es-AR"/>
              </w:rPr>
            </w:pPr>
            <w:r w:rsidRPr="00631A1A">
              <w:rPr>
                <w:rFonts w:ascii="Calibri" w:eastAsia="Times New Roman" w:hAnsi="Calibri" w:cs="Calibri"/>
                <w:color w:val="000000"/>
                <w:lang w:val="es-AR" w:eastAsia="es-AR"/>
              </w:rPr>
              <w:t>0,224</w:t>
            </w:r>
          </w:p>
        </w:tc>
      </w:tr>
      <w:tr w:rsidR="00631A1A" w:rsidRPr="00631A1A" w14:paraId="2C8B9BF2" w14:textId="77777777" w:rsidTr="00631A1A">
        <w:trPr>
          <w:trHeight w:val="300"/>
          <w:jc w:val="center"/>
        </w:trPr>
        <w:tc>
          <w:tcPr>
            <w:tcW w:w="3420" w:type="dxa"/>
            <w:tcBorders>
              <w:top w:val="nil"/>
              <w:left w:val="nil"/>
              <w:bottom w:val="nil"/>
              <w:right w:val="nil"/>
            </w:tcBorders>
            <w:shd w:val="clear" w:color="000000" w:fill="FFFFFF"/>
            <w:noWrap/>
            <w:vAlign w:val="bottom"/>
            <w:hideMark/>
          </w:tcPr>
          <w:p w14:paraId="44927C81" w14:textId="77777777" w:rsidR="00631A1A" w:rsidRPr="00631A1A" w:rsidRDefault="00631A1A" w:rsidP="008B5D7F">
            <w:pPr>
              <w:spacing w:after="0" w:line="240" w:lineRule="auto"/>
              <w:ind w:firstLine="0"/>
              <w:jc w:val="left"/>
              <w:rPr>
                <w:rFonts w:ascii="Calibri" w:eastAsia="Times New Roman" w:hAnsi="Calibri" w:cs="Calibri"/>
                <w:color w:val="000000"/>
                <w:lang w:val="es-AR" w:eastAsia="es-AR"/>
              </w:rPr>
            </w:pPr>
            <w:r w:rsidRPr="00631A1A">
              <w:rPr>
                <w:rFonts w:ascii="Calibri" w:eastAsia="Times New Roman" w:hAnsi="Calibri" w:cs="Calibri"/>
                <w:color w:val="000000"/>
                <w:lang w:val="es-AR" w:eastAsia="es-AR"/>
              </w:rPr>
              <w:t> </w:t>
            </w:r>
          </w:p>
        </w:tc>
        <w:tc>
          <w:tcPr>
            <w:tcW w:w="1420" w:type="dxa"/>
            <w:tcBorders>
              <w:top w:val="nil"/>
              <w:left w:val="single" w:sz="4" w:space="0" w:color="auto"/>
              <w:bottom w:val="single" w:sz="4" w:space="0" w:color="auto"/>
              <w:right w:val="single" w:sz="4" w:space="0" w:color="auto"/>
            </w:tcBorders>
            <w:shd w:val="clear" w:color="auto" w:fill="808080" w:themeFill="background1" w:themeFillShade="80"/>
            <w:noWrap/>
            <w:vAlign w:val="center"/>
            <w:hideMark/>
          </w:tcPr>
          <w:p w14:paraId="42BF4737" w14:textId="77777777" w:rsidR="00631A1A" w:rsidRPr="00631A1A" w:rsidRDefault="00631A1A" w:rsidP="008B5D7F">
            <w:pPr>
              <w:spacing w:after="0" w:line="240" w:lineRule="auto"/>
              <w:ind w:firstLine="0"/>
              <w:jc w:val="center"/>
              <w:rPr>
                <w:rFonts w:ascii="Calibri" w:eastAsia="Times New Roman" w:hAnsi="Calibri" w:cs="Calibri"/>
                <w:b/>
                <w:bCs/>
                <w:color w:val="FFFFFF" w:themeColor="background1"/>
                <w:lang w:val="es-AR" w:eastAsia="es-AR"/>
              </w:rPr>
            </w:pPr>
            <w:r w:rsidRPr="00631A1A">
              <w:rPr>
                <w:rFonts w:ascii="Calibri" w:eastAsia="Times New Roman" w:hAnsi="Calibri" w:cs="Calibri"/>
                <w:b/>
                <w:bCs/>
                <w:color w:val="FFFFFF" w:themeColor="background1"/>
                <w:lang w:val="es-AR" w:eastAsia="es-AR"/>
              </w:rPr>
              <w:t>IREF1</w:t>
            </w:r>
          </w:p>
        </w:tc>
        <w:tc>
          <w:tcPr>
            <w:tcW w:w="1200" w:type="dxa"/>
            <w:tcBorders>
              <w:top w:val="nil"/>
              <w:left w:val="nil"/>
              <w:bottom w:val="single" w:sz="4" w:space="0" w:color="auto"/>
              <w:right w:val="single" w:sz="4" w:space="0" w:color="auto"/>
            </w:tcBorders>
            <w:shd w:val="clear" w:color="auto" w:fill="808080" w:themeFill="background1" w:themeFillShade="80"/>
            <w:noWrap/>
            <w:vAlign w:val="center"/>
            <w:hideMark/>
          </w:tcPr>
          <w:p w14:paraId="3F1BE777" w14:textId="77777777" w:rsidR="00631A1A" w:rsidRPr="00631A1A" w:rsidRDefault="00631A1A" w:rsidP="008B5D7F">
            <w:pPr>
              <w:spacing w:after="0" w:line="240" w:lineRule="auto"/>
              <w:ind w:firstLine="0"/>
              <w:jc w:val="center"/>
              <w:rPr>
                <w:rFonts w:ascii="Calibri" w:eastAsia="Times New Roman" w:hAnsi="Calibri" w:cs="Calibri"/>
                <w:b/>
                <w:bCs/>
                <w:color w:val="FFFFFF" w:themeColor="background1"/>
                <w:lang w:val="es-AR" w:eastAsia="es-AR"/>
              </w:rPr>
            </w:pPr>
            <w:r w:rsidRPr="00631A1A">
              <w:rPr>
                <w:rFonts w:ascii="Calibri" w:eastAsia="Times New Roman" w:hAnsi="Calibri" w:cs="Calibri"/>
                <w:b/>
                <w:bCs/>
                <w:color w:val="FFFFFF" w:themeColor="background1"/>
                <w:lang w:val="es-AR" w:eastAsia="es-AR"/>
              </w:rPr>
              <w:t>EF1</w:t>
            </w:r>
          </w:p>
        </w:tc>
      </w:tr>
      <w:tr w:rsidR="00631A1A" w:rsidRPr="00631A1A" w14:paraId="4A3F749F" w14:textId="77777777" w:rsidTr="00631A1A">
        <w:trPr>
          <w:trHeight w:val="300"/>
          <w:jc w:val="center"/>
        </w:trPr>
        <w:tc>
          <w:tcPr>
            <w:tcW w:w="3420"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14:paraId="02EA52FB" w14:textId="77777777" w:rsidR="00631A1A" w:rsidRPr="00631A1A" w:rsidRDefault="00631A1A" w:rsidP="008B5D7F">
            <w:pPr>
              <w:spacing w:after="0" w:line="240" w:lineRule="auto"/>
              <w:ind w:firstLine="0"/>
              <w:jc w:val="center"/>
              <w:rPr>
                <w:rFonts w:ascii="Calibri" w:eastAsia="Times New Roman" w:hAnsi="Calibri" w:cs="Calibri"/>
                <w:b/>
                <w:bCs/>
                <w:color w:val="FFFFFF" w:themeColor="background1"/>
                <w:lang w:val="es-AR" w:eastAsia="es-AR"/>
              </w:rPr>
            </w:pPr>
            <w:r w:rsidRPr="00631A1A">
              <w:rPr>
                <w:rFonts w:ascii="Calibri" w:eastAsia="Times New Roman" w:hAnsi="Calibri" w:cs="Calibri"/>
                <w:b/>
                <w:bCs/>
                <w:color w:val="FFFFFF" w:themeColor="background1"/>
                <w:lang w:val="es-AR" w:eastAsia="es-AR"/>
              </w:rPr>
              <w:t>PBG</w:t>
            </w:r>
          </w:p>
        </w:tc>
        <w:tc>
          <w:tcPr>
            <w:tcW w:w="1420" w:type="dxa"/>
            <w:tcBorders>
              <w:top w:val="nil"/>
              <w:left w:val="nil"/>
              <w:bottom w:val="single" w:sz="4" w:space="0" w:color="auto"/>
              <w:right w:val="single" w:sz="4" w:space="0" w:color="auto"/>
            </w:tcBorders>
            <w:shd w:val="clear" w:color="000000" w:fill="FFFFFF"/>
            <w:noWrap/>
            <w:vAlign w:val="center"/>
            <w:hideMark/>
          </w:tcPr>
          <w:p w14:paraId="727E2645" w14:textId="77777777" w:rsidR="00631A1A" w:rsidRPr="00631A1A" w:rsidRDefault="00631A1A" w:rsidP="008B5D7F">
            <w:pPr>
              <w:spacing w:after="0" w:line="240" w:lineRule="auto"/>
              <w:ind w:firstLine="0"/>
              <w:jc w:val="center"/>
              <w:rPr>
                <w:rFonts w:ascii="Calibri" w:eastAsia="Times New Roman" w:hAnsi="Calibri" w:cs="Calibri"/>
                <w:color w:val="000000"/>
                <w:lang w:val="es-AR" w:eastAsia="es-AR"/>
              </w:rPr>
            </w:pPr>
            <w:r w:rsidRPr="00631A1A">
              <w:rPr>
                <w:rFonts w:ascii="Calibri" w:eastAsia="Times New Roman" w:hAnsi="Calibri" w:cs="Calibri"/>
                <w:color w:val="000000"/>
                <w:lang w:val="es-AR" w:eastAsia="es-AR"/>
              </w:rPr>
              <w:t>0,319</w:t>
            </w:r>
          </w:p>
        </w:tc>
        <w:tc>
          <w:tcPr>
            <w:tcW w:w="1200" w:type="dxa"/>
            <w:tcBorders>
              <w:top w:val="nil"/>
              <w:left w:val="nil"/>
              <w:bottom w:val="single" w:sz="4" w:space="0" w:color="auto"/>
              <w:right w:val="single" w:sz="4" w:space="0" w:color="auto"/>
            </w:tcBorders>
            <w:shd w:val="clear" w:color="000000" w:fill="BFBFBF"/>
            <w:noWrap/>
            <w:vAlign w:val="center"/>
            <w:hideMark/>
          </w:tcPr>
          <w:p w14:paraId="6C8F2305" w14:textId="77777777" w:rsidR="00631A1A" w:rsidRPr="00631A1A" w:rsidRDefault="00631A1A" w:rsidP="008B5D7F">
            <w:pPr>
              <w:spacing w:after="0" w:line="240" w:lineRule="auto"/>
              <w:ind w:firstLine="0"/>
              <w:jc w:val="center"/>
              <w:rPr>
                <w:rFonts w:ascii="Calibri" w:eastAsia="Times New Roman" w:hAnsi="Calibri" w:cs="Calibri"/>
                <w:color w:val="000000"/>
                <w:lang w:val="es-AR" w:eastAsia="es-AR"/>
              </w:rPr>
            </w:pPr>
            <w:r w:rsidRPr="00631A1A">
              <w:rPr>
                <w:rFonts w:ascii="Calibri" w:eastAsia="Times New Roman" w:hAnsi="Calibri" w:cs="Calibri"/>
                <w:color w:val="000000"/>
                <w:lang w:val="es-AR" w:eastAsia="es-AR"/>
              </w:rPr>
              <w:t> </w:t>
            </w:r>
          </w:p>
        </w:tc>
      </w:tr>
      <w:tr w:rsidR="00631A1A" w:rsidRPr="00631A1A" w14:paraId="515EA0EA" w14:textId="77777777" w:rsidTr="00631A1A">
        <w:trPr>
          <w:trHeight w:val="300"/>
          <w:jc w:val="center"/>
        </w:trPr>
        <w:tc>
          <w:tcPr>
            <w:tcW w:w="3420" w:type="dxa"/>
            <w:tcBorders>
              <w:top w:val="nil"/>
              <w:left w:val="single" w:sz="4" w:space="0" w:color="auto"/>
              <w:bottom w:val="single" w:sz="4" w:space="0" w:color="auto"/>
              <w:right w:val="single" w:sz="4" w:space="0" w:color="auto"/>
            </w:tcBorders>
            <w:shd w:val="clear" w:color="auto" w:fill="808080" w:themeFill="background1" w:themeFillShade="80"/>
            <w:noWrap/>
            <w:vAlign w:val="bottom"/>
            <w:hideMark/>
          </w:tcPr>
          <w:p w14:paraId="7F69D0B3" w14:textId="77777777" w:rsidR="00631A1A" w:rsidRPr="00631A1A" w:rsidRDefault="00631A1A" w:rsidP="008B5D7F">
            <w:pPr>
              <w:spacing w:after="0" w:line="240" w:lineRule="auto"/>
              <w:ind w:firstLine="0"/>
              <w:jc w:val="center"/>
              <w:rPr>
                <w:rFonts w:ascii="Calibri" w:eastAsia="Times New Roman" w:hAnsi="Calibri" w:cs="Calibri"/>
                <w:b/>
                <w:bCs/>
                <w:color w:val="FFFFFF" w:themeColor="background1"/>
                <w:lang w:val="es-AR" w:eastAsia="es-AR"/>
              </w:rPr>
            </w:pPr>
            <w:r w:rsidRPr="00631A1A">
              <w:rPr>
                <w:rFonts w:ascii="Calibri" w:eastAsia="Times New Roman" w:hAnsi="Calibri" w:cs="Calibri"/>
                <w:b/>
                <w:bCs/>
                <w:color w:val="FFFFFF" w:themeColor="background1"/>
                <w:lang w:val="es-AR" w:eastAsia="es-AR"/>
              </w:rPr>
              <w:t>CF1</w:t>
            </w:r>
          </w:p>
        </w:tc>
        <w:tc>
          <w:tcPr>
            <w:tcW w:w="1420" w:type="dxa"/>
            <w:tcBorders>
              <w:top w:val="nil"/>
              <w:left w:val="nil"/>
              <w:bottom w:val="single" w:sz="4" w:space="0" w:color="auto"/>
              <w:right w:val="single" w:sz="4" w:space="0" w:color="auto"/>
            </w:tcBorders>
            <w:shd w:val="clear" w:color="000000" w:fill="BFBFBF"/>
            <w:noWrap/>
            <w:vAlign w:val="center"/>
            <w:hideMark/>
          </w:tcPr>
          <w:p w14:paraId="1978542C" w14:textId="77777777" w:rsidR="00631A1A" w:rsidRPr="00631A1A" w:rsidRDefault="00631A1A" w:rsidP="008B5D7F">
            <w:pPr>
              <w:spacing w:after="0" w:line="240" w:lineRule="auto"/>
              <w:ind w:firstLine="0"/>
              <w:jc w:val="center"/>
              <w:rPr>
                <w:rFonts w:ascii="Calibri" w:eastAsia="Times New Roman" w:hAnsi="Calibri" w:cs="Calibri"/>
                <w:color w:val="000000"/>
                <w:lang w:val="es-AR" w:eastAsia="es-AR"/>
              </w:rPr>
            </w:pPr>
            <w:r w:rsidRPr="00631A1A">
              <w:rPr>
                <w:rFonts w:ascii="Calibri" w:eastAsia="Times New Roman" w:hAnsi="Calibri" w:cs="Calibri"/>
                <w:color w:val="000000"/>
                <w:lang w:val="es-AR" w:eastAsia="es-AR"/>
              </w:rPr>
              <w:t> </w:t>
            </w:r>
          </w:p>
        </w:tc>
        <w:tc>
          <w:tcPr>
            <w:tcW w:w="1200" w:type="dxa"/>
            <w:tcBorders>
              <w:top w:val="nil"/>
              <w:left w:val="nil"/>
              <w:bottom w:val="single" w:sz="4" w:space="0" w:color="auto"/>
              <w:right w:val="single" w:sz="4" w:space="0" w:color="auto"/>
            </w:tcBorders>
            <w:shd w:val="clear" w:color="000000" w:fill="FFFFFF"/>
            <w:noWrap/>
            <w:vAlign w:val="center"/>
            <w:hideMark/>
          </w:tcPr>
          <w:p w14:paraId="3841DA40" w14:textId="77777777" w:rsidR="00631A1A" w:rsidRPr="00631A1A" w:rsidRDefault="00631A1A" w:rsidP="008B5D7F">
            <w:pPr>
              <w:spacing w:after="0" w:line="240" w:lineRule="auto"/>
              <w:ind w:firstLine="0"/>
              <w:jc w:val="center"/>
              <w:rPr>
                <w:rFonts w:ascii="Calibri" w:eastAsia="Times New Roman" w:hAnsi="Calibri" w:cs="Calibri"/>
                <w:color w:val="000000"/>
                <w:lang w:val="es-AR" w:eastAsia="es-AR"/>
              </w:rPr>
            </w:pPr>
            <w:r w:rsidRPr="00631A1A">
              <w:rPr>
                <w:rFonts w:ascii="Calibri" w:eastAsia="Times New Roman" w:hAnsi="Calibri" w:cs="Calibri"/>
                <w:color w:val="000000"/>
                <w:lang w:val="es-AR" w:eastAsia="es-AR"/>
              </w:rPr>
              <w:t>0,182</w:t>
            </w:r>
          </w:p>
        </w:tc>
      </w:tr>
      <w:tr w:rsidR="00631A1A" w:rsidRPr="00631A1A" w14:paraId="785D4FC5" w14:textId="77777777" w:rsidTr="00631A1A">
        <w:trPr>
          <w:trHeight w:val="385"/>
          <w:jc w:val="center"/>
        </w:trPr>
        <w:tc>
          <w:tcPr>
            <w:tcW w:w="3420" w:type="dxa"/>
            <w:tcBorders>
              <w:top w:val="nil"/>
              <w:left w:val="single" w:sz="4" w:space="0" w:color="auto"/>
              <w:bottom w:val="single" w:sz="4" w:space="0" w:color="auto"/>
              <w:right w:val="single" w:sz="4" w:space="0" w:color="auto"/>
            </w:tcBorders>
            <w:shd w:val="clear" w:color="auto" w:fill="808080" w:themeFill="background1" w:themeFillShade="80"/>
            <w:vAlign w:val="center"/>
            <w:hideMark/>
          </w:tcPr>
          <w:p w14:paraId="36501EC7" w14:textId="77777777" w:rsidR="00631A1A" w:rsidRPr="00631A1A" w:rsidRDefault="00631A1A" w:rsidP="008B5D7F">
            <w:pPr>
              <w:spacing w:after="0" w:line="240" w:lineRule="auto"/>
              <w:ind w:firstLine="0"/>
              <w:jc w:val="center"/>
              <w:rPr>
                <w:rFonts w:ascii="Calibri" w:eastAsia="Times New Roman" w:hAnsi="Calibri" w:cs="Calibri"/>
                <w:b/>
                <w:bCs/>
                <w:color w:val="FFFFFF" w:themeColor="background1"/>
                <w:lang w:val="es-AR" w:eastAsia="es-AR"/>
              </w:rPr>
            </w:pPr>
            <w:r w:rsidRPr="00631A1A">
              <w:rPr>
                <w:rFonts w:ascii="Calibri" w:eastAsia="Times New Roman" w:hAnsi="Calibri" w:cs="Calibri"/>
                <w:b/>
                <w:bCs/>
                <w:color w:val="FFFFFF" w:themeColor="background1"/>
                <w:lang w:val="es-AR" w:eastAsia="es-AR"/>
              </w:rPr>
              <w:t>Transferencias No Automáticas</w:t>
            </w:r>
          </w:p>
        </w:tc>
        <w:tc>
          <w:tcPr>
            <w:tcW w:w="1420" w:type="dxa"/>
            <w:tcBorders>
              <w:top w:val="nil"/>
              <w:left w:val="nil"/>
              <w:bottom w:val="single" w:sz="4" w:space="0" w:color="auto"/>
              <w:right w:val="single" w:sz="4" w:space="0" w:color="auto"/>
            </w:tcBorders>
            <w:shd w:val="clear" w:color="000000" w:fill="FFFFFF"/>
            <w:noWrap/>
            <w:vAlign w:val="center"/>
            <w:hideMark/>
          </w:tcPr>
          <w:p w14:paraId="3AB9961B" w14:textId="77777777" w:rsidR="00631A1A" w:rsidRPr="00631A1A" w:rsidRDefault="00631A1A" w:rsidP="008B5D7F">
            <w:pPr>
              <w:spacing w:after="0" w:line="240" w:lineRule="auto"/>
              <w:ind w:firstLine="0"/>
              <w:jc w:val="center"/>
              <w:rPr>
                <w:rFonts w:ascii="Calibri" w:eastAsia="Times New Roman" w:hAnsi="Calibri" w:cs="Calibri"/>
                <w:color w:val="000000"/>
                <w:lang w:val="es-AR" w:eastAsia="es-AR"/>
              </w:rPr>
            </w:pPr>
            <w:r w:rsidRPr="00631A1A">
              <w:rPr>
                <w:rFonts w:ascii="Calibri" w:eastAsia="Times New Roman" w:hAnsi="Calibri" w:cs="Calibri"/>
                <w:color w:val="000000"/>
                <w:lang w:val="es-AR" w:eastAsia="es-AR"/>
              </w:rPr>
              <w:t>-0,173</w:t>
            </w:r>
          </w:p>
        </w:tc>
        <w:tc>
          <w:tcPr>
            <w:tcW w:w="1200" w:type="dxa"/>
            <w:tcBorders>
              <w:top w:val="nil"/>
              <w:left w:val="nil"/>
              <w:bottom w:val="single" w:sz="4" w:space="0" w:color="auto"/>
              <w:right w:val="single" w:sz="4" w:space="0" w:color="auto"/>
            </w:tcBorders>
            <w:shd w:val="clear" w:color="000000" w:fill="FFFFFF"/>
            <w:noWrap/>
            <w:vAlign w:val="center"/>
            <w:hideMark/>
          </w:tcPr>
          <w:p w14:paraId="7CC04D2A" w14:textId="77777777" w:rsidR="00631A1A" w:rsidRPr="00631A1A" w:rsidRDefault="00631A1A" w:rsidP="008B5D7F">
            <w:pPr>
              <w:spacing w:after="0" w:line="240" w:lineRule="auto"/>
              <w:ind w:firstLine="0"/>
              <w:jc w:val="center"/>
              <w:rPr>
                <w:rFonts w:ascii="Calibri" w:eastAsia="Times New Roman" w:hAnsi="Calibri" w:cs="Calibri"/>
                <w:color w:val="000000"/>
                <w:lang w:val="es-AR" w:eastAsia="es-AR"/>
              </w:rPr>
            </w:pPr>
            <w:r w:rsidRPr="00631A1A">
              <w:rPr>
                <w:rFonts w:ascii="Calibri" w:eastAsia="Times New Roman" w:hAnsi="Calibri" w:cs="Calibri"/>
                <w:color w:val="000000"/>
                <w:lang w:val="es-AR" w:eastAsia="es-AR"/>
              </w:rPr>
              <w:t>-0,160</w:t>
            </w:r>
          </w:p>
        </w:tc>
      </w:tr>
      <w:tr w:rsidR="00631A1A" w:rsidRPr="00631A1A" w14:paraId="2282C00D" w14:textId="77777777" w:rsidTr="00631A1A">
        <w:trPr>
          <w:trHeight w:val="300"/>
          <w:jc w:val="center"/>
        </w:trPr>
        <w:tc>
          <w:tcPr>
            <w:tcW w:w="3420" w:type="dxa"/>
            <w:tcBorders>
              <w:top w:val="nil"/>
              <w:left w:val="single" w:sz="4" w:space="0" w:color="auto"/>
              <w:bottom w:val="single" w:sz="4" w:space="0" w:color="auto"/>
              <w:right w:val="single" w:sz="4" w:space="0" w:color="auto"/>
            </w:tcBorders>
            <w:shd w:val="clear" w:color="auto" w:fill="808080" w:themeFill="background1" w:themeFillShade="80"/>
            <w:vAlign w:val="center"/>
            <w:hideMark/>
          </w:tcPr>
          <w:p w14:paraId="2ECA4129" w14:textId="77777777" w:rsidR="00631A1A" w:rsidRPr="00631A1A" w:rsidRDefault="00631A1A" w:rsidP="008B5D7F">
            <w:pPr>
              <w:spacing w:after="0" w:line="240" w:lineRule="auto"/>
              <w:ind w:firstLine="0"/>
              <w:jc w:val="center"/>
              <w:rPr>
                <w:rFonts w:ascii="Calibri" w:eastAsia="Times New Roman" w:hAnsi="Calibri" w:cs="Calibri"/>
                <w:b/>
                <w:bCs/>
                <w:color w:val="FFFFFF" w:themeColor="background1"/>
                <w:lang w:val="es-AR" w:eastAsia="es-AR"/>
              </w:rPr>
            </w:pPr>
            <w:r w:rsidRPr="00631A1A">
              <w:rPr>
                <w:rFonts w:ascii="Calibri" w:eastAsia="Times New Roman" w:hAnsi="Calibri" w:cs="Calibri"/>
                <w:b/>
                <w:bCs/>
                <w:color w:val="FFFFFF" w:themeColor="background1"/>
                <w:lang w:val="es-AR" w:eastAsia="es-AR"/>
              </w:rPr>
              <w:t>Resultado Primario</w:t>
            </w:r>
          </w:p>
        </w:tc>
        <w:tc>
          <w:tcPr>
            <w:tcW w:w="1420" w:type="dxa"/>
            <w:tcBorders>
              <w:top w:val="nil"/>
              <w:left w:val="nil"/>
              <w:bottom w:val="single" w:sz="4" w:space="0" w:color="auto"/>
              <w:right w:val="single" w:sz="4" w:space="0" w:color="auto"/>
            </w:tcBorders>
            <w:shd w:val="clear" w:color="000000" w:fill="FFFFFF"/>
            <w:noWrap/>
            <w:vAlign w:val="bottom"/>
            <w:hideMark/>
          </w:tcPr>
          <w:p w14:paraId="2032A0D5" w14:textId="77777777" w:rsidR="00631A1A" w:rsidRPr="00631A1A" w:rsidRDefault="00631A1A" w:rsidP="008B5D7F">
            <w:pPr>
              <w:spacing w:after="0" w:line="240" w:lineRule="auto"/>
              <w:ind w:firstLine="0"/>
              <w:jc w:val="center"/>
              <w:rPr>
                <w:rFonts w:ascii="Calibri" w:eastAsia="Times New Roman" w:hAnsi="Calibri" w:cs="Calibri"/>
                <w:color w:val="000000"/>
                <w:lang w:val="es-AR" w:eastAsia="es-AR"/>
              </w:rPr>
            </w:pPr>
            <w:r w:rsidRPr="00631A1A">
              <w:rPr>
                <w:rFonts w:ascii="Calibri" w:eastAsia="Times New Roman" w:hAnsi="Calibri" w:cs="Calibri"/>
                <w:color w:val="000000"/>
                <w:lang w:val="es-AR" w:eastAsia="es-AR"/>
              </w:rPr>
              <w:t>-0,039</w:t>
            </w:r>
          </w:p>
        </w:tc>
        <w:tc>
          <w:tcPr>
            <w:tcW w:w="1200" w:type="dxa"/>
            <w:tcBorders>
              <w:top w:val="nil"/>
              <w:left w:val="nil"/>
              <w:bottom w:val="single" w:sz="4" w:space="0" w:color="auto"/>
              <w:right w:val="single" w:sz="4" w:space="0" w:color="auto"/>
            </w:tcBorders>
            <w:shd w:val="clear" w:color="000000" w:fill="FFFFFF"/>
            <w:noWrap/>
            <w:vAlign w:val="bottom"/>
            <w:hideMark/>
          </w:tcPr>
          <w:p w14:paraId="5150C42C" w14:textId="77777777" w:rsidR="00631A1A" w:rsidRPr="00631A1A" w:rsidRDefault="00631A1A" w:rsidP="008B5D7F">
            <w:pPr>
              <w:spacing w:after="0" w:line="240" w:lineRule="auto"/>
              <w:ind w:firstLine="0"/>
              <w:jc w:val="center"/>
              <w:rPr>
                <w:rFonts w:ascii="Calibri" w:eastAsia="Times New Roman" w:hAnsi="Calibri" w:cs="Calibri"/>
                <w:color w:val="000000"/>
                <w:lang w:val="es-AR" w:eastAsia="es-AR"/>
              </w:rPr>
            </w:pPr>
            <w:r w:rsidRPr="00631A1A">
              <w:rPr>
                <w:rFonts w:ascii="Calibri" w:eastAsia="Times New Roman" w:hAnsi="Calibri" w:cs="Calibri"/>
                <w:color w:val="000000"/>
                <w:lang w:val="es-AR" w:eastAsia="es-AR"/>
              </w:rPr>
              <w:t>-0,058</w:t>
            </w:r>
          </w:p>
        </w:tc>
      </w:tr>
      <w:tr w:rsidR="00631A1A" w:rsidRPr="00631A1A" w14:paraId="6DBDF219" w14:textId="77777777" w:rsidTr="00631A1A">
        <w:trPr>
          <w:trHeight w:val="300"/>
          <w:jc w:val="center"/>
        </w:trPr>
        <w:tc>
          <w:tcPr>
            <w:tcW w:w="3420" w:type="dxa"/>
            <w:tcBorders>
              <w:top w:val="nil"/>
              <w:left w:val="single" w:sz="4" w:space="0" w:color="auto"/>
              <w:bottom w:val="single" w:sz="4" w:space="0" w:color="auto"/>
              <w:right w:val="single" w:sz="4" w:space="0" w:color="auto"/>
            </w:tcBorders>
            <w:shd w:val="clear" w:color="auto" w:fill="808080" w:themeFill="background1" w:themeFillShade="80"/>
            <w:vAlign w:val="center"/>
            <w:hideMark/>
          </w:tcPr>
          <w:p w14:paraId="0655A658" w14:textId="77777777" w:rsidR="00631A1A" w:rsidRPr="00631A1A" w:rsidRDefault="00631A1A" w:rsidP="008B5D7F">
            <w:pPr>
              <w:spacing w:after="0" w:line="240" w:lineRule="auto"/>
              <w:ind w:firstLine="0"/>
              <w:jc w:val="center"/>
              <w:rPr>
                <w:rFonts w:ascii="Calibri" w:eastAsia="Times New Roman" w:hAnsi="Calibri" w:cs="Calibri"/>
                <w:b/>
                <w:bCs/>
                <w:color w:val="FFFFFF" w:themeColor="background1"/>
                <w:lang w:val="es-AR" w:eastAsia="es-AR"/>
              </w:rPr>
            </w:pPr>
            <w:r w:rsidRPr="00631A1A">
              <w:rPr>
                <w:rFonts w:ascii="Calibri" w:eastAsia="Times New Roman" w:hAnsi="Calibri" w:cs="Calibri"/>
                <w:b/>
                <w:bCs/>
                <w:color w:val="FFFFFF" w:themeColor="background1"/>
                <w:lang w:val="es-AR" w:eastAsia="es-AR"/>
              </w:rPr>
              <w:t>Resultado Financiero</w:t>
            </w:r>
          </w:p>
        </w:tc>
        <w:tc>
          <w:tcPr>
            <w:tcW w:w="1420" w:type="dxa"/>
            <w:tcBorders>
              <w:top w:val="nil"/>
              <w:left w:val="nil"/>
              <w:bottom w:val="single" w:sz="4" w:space="0" w:color="auto"/>
              <w:right w:val="single" w:sz="4" w:space="0" w:color="auto"/>
            </w:tcBorders>
            <w:shd w:val="clear" w:color="000000" w:fill="FFFFFF"/>
            <w:noWrap/>
            <w:vAlign w:val="bottom"/>
            <w:hideMark/>
          </w:tcPr>
          <w:p w14:paraId="1EDB33B2" w14:textId="77777777" w:rsidR="00631A1A" w:rsidRPr="00631A1A" w:rsidRDefault="00631A1A" w:rsidP="008B5D7F">
            <w:pPr>
              <w:spacing w:after="0" w:line="240" w:lineRule="auto"/>
              <w:ind w:firstLine="0"/>
              <w:jc w:val="center"/>
              <w:rPr>
                <w:rFonts w:ascii="Calibri" w:eastAsia="Times New Roman" w:hAnsi="Calibri" w:cs="Calibri"/>
                <w:color w:val="000000"/>
                <w:lang w:val="es-AR" w:eastAsia="es-AR"/>
              </w:rPr>
            </w:pPr>
            <w:r w:rsidRPr="00631A1A">
              <w:rPr>
                <w:rFonts w:ascii="Calibri" w:eastAsia="Times New Roman" w:hAnsi="Calibri" w:cs="Calibri"/>
                <w:color w:val="000000"/>
                <w:lang w:val="es-AR" w:eastAsia="es-AR"/>
              </w:rPr>
              <w:t>-0,098</w:t>
            </w:r>
          </w:p>
        </w:tc>
        <w:tc>
          <w:tcPr>
            <w:tcW w:w="1200" w:type="dxa"/>
            <w:tcBorders>
              <w:top w:val="nil"/>
              <w:left w:val="nil"/>
              <w:bottom w:val="single" w:sz="4" w:space="0" w:color="auto"/>
              <w:right w:val="single" w:sz="4" w:space="0" w:color="auto"/>
            </w:tcBorders>
            <w:shd w:val="clear" w:color="000000" w:fill="FFFFFF"/>
            <w:noWrap/>
            <w:vAlign w:val="bottom"/>
            <w:hideMark/>
          </w:tcPr>
          <w:p w14:paraId="5A5AF034" w14:textId="77777777" w:rsidR="00631A1A" w:rsidRPr="00631A1A" w:rsidRDefault="00631A1A" w:rsidP="008B5D7F">
            <w:pPr>
              <w:spacing w:after="0" w:line="240" w:lineRule="auto"/>
              <w:ind w:firstLine="0"/>
              <w:jc w:val="center"/>
              <w:rPr>
                <w:rFonts w:ascii="Calibri" w:eastAsia="Times New Roman" w:hAnsi="Calibri" w:cs="Calibri"/>
                <w:color w:val="000000"/>
                <w:lang w:val="es-AR" w:eastAsia="es-AR"/>
              </w:rPr>
            </w:pPr>
            <w:r w:rsidRPr="00631A1A">
              <w:rPr>
                <w:rFonts w:ascii="Calibri" w:eastAsia="Times New Roman" w:hAnsi="Calibri" w:cs="Calibri"/>
                <w:color w:val="000000"/>
                <w:lang w:val="es-AR" w:eastAsia="es-AR"/>
              </w:rPr>
              <w:t>-0,111</w:t>
            </w:r>
          </w:p>
        </w:tc>
      </w:tr>
      <w:tr w:rsidR="00631A1A" w:rsidRPr="00631A1A" w14:paraId="7FA40749" w14:textId="77777777" w:rsidTr="00631A1A">
        <w:trPr>
          <w:trHeight w:val="300"/>
          <w:jc w:val="center"/>
        </w:trPr>
        <w:tc>
          <w:tcPr>
            <w:tcW w:w="3420" w:type="dxa"/>
            <w:tcBorders>
              <w:top w:val="nil"/>
              <w:left w:val="single" w:sz="4" w:space="0" w:color="auto"/>
              <w:bottom w:val="single" w:sz="4" w:space="0" w:color="auto"/>
              <w:right w:val="single" w:sz="4" w:space="0" w:color="auto"/>
            </w:tcBorders>
            <w:shd w:val="clear" w:color="auto" w:fill="808080" w:themeFill="background1" w:themeFillShade="80"/>
            <w:vAlign w:val="center"/>
            <w:hideMark/>
          </w:tcPr>
          <w:p w14:paraId="539C4DEE" w14:textId="77777777" w:rsidR="00631A1A" w:rsidRPr="00631A1A" w:rsidRDefault="00631A1A" w:rsidP="008B5D7F">
            <w:pPr>
              <w:spacing w:after="0" w:line="240" w:lineRule="auto"/>
              <w:ind w:firstLine="0"/>
              <w:jc w:val="center"/>
              <w:rPr>
                <w:rFonts w:ascii="Calibri" w:eastAsia="Times New Roman" w:hAnsi="Calibri" w:cs="Calibri"/>
                <w:b/>
                <w:bCs/>
                <w:color w:val="FFFFFF" w:themeColor="background1"/>
                <w:lang w:val="es-AR" w:eastAsia="es-AR"/>
              </w:rPr>
            </w:pPr>
            <w:r w:rsidRPr="00631A1A">
              <w:rPr>
                <w:rFonts w:ascii="Calibri" w:eastAsia="Times New Roman" w:hAnsi="Calibri" w:cs="Calibri"/>
                <w:b/>
                <w:bCs/>
                <w:color w:val="FFFFFF" w:themeColor="background1"/>
                <w:lang w:val="es-AR" w:eastAsia="es-AR"/>
              </w:rPr>
              <w:t>(Ingresos Brutos/Ingresos Propios)</w:t>
            </w:r>
          </w:p>
        </w:tc>
        <w:tc>
          <w:tcPr>
            <w:tcW w:w="1420" w:type="dxa"/>
            <w:tcBorders>
              <w:top w:val="nil"/>
              <w:left w:val="nil"/>
              <w:bottom w:val="single" w:sz="4" w:space="0" w:color="auto"/>
              <w:right w:val="single" w:sz="4" w:space="0" w:color="auto"/>
            </w:tcBorders>
            <w:shd w:val="clear" w:color="000000" w:fill="FFFFFF"/>
            <w:noWrap/>
            <w:vAlign w:val="bottom"/>
            <w:hideMark/>
          </w:tcPr>
          <w:p w14:paraId="2E6689AA" w14:textId="77777777" w:rsidR="00631A1A" w:rsidRPr="00631A1A" w:rsidRDefault="00631A1A" w:rsidP="008B5D7F">
            <w:pPr>
              <w:spacing w:after="0" w:line="240" w:lineRule="auto"/>
              <w:ind w:firstLine="0"/>
              <w:jc w:val="center"/>
              <w:rPr>
                <w:rFonts w:ascii="Calibri" w:eastAsia="Times New Roman" w:hAnsi="Calibri" w:cs="Calibri"/>
                <w:color w:val="000000"/>
                <w:lang w:val="es-AR" w:eastAsia="es-AR"/>
              </w:rPr>
            </w:pPr>
            <w:r w:rsidRPr="00631A1A">
              <w:rPr>
                <w:rFonts w:ascii="Calibri" w:eastAsia="Times New Roman" w:hAnsi="Calibri" w:cs="Calibri"/>
                <w:color w:val="000000"/>
                <w:lang w:val="es-AR" w:eastAsia="es-AR"/>
              </w:rPr>
              <w:t>0,035</w:t>
            </w:r>
          </w:p>
        </w:tc>
        <w:tc>
          <w:tcPr>
            <w:tcW w:w="1200" w:type="dxa"/>
            <w:tcBorders>
              <w:top w:val="nil"/>
              <w:left w:val="nil"/>
              <w:bottom w:val="single" w:sz="4" w:space="0" w:color="auto"/>
              <w:right w:val="single" w:sz="4" w:space="0" w:color="auto"/>
            </w:tcBorders>
            <w:shd w:val="clear" w:color="000000" w:fill="FFFFFF"/>
            <w:noWrap/>
            <w:vAlign w:val="bottom"/>
            <w:hideMark/>
          </w:tcPr>
          <w:p w14:paraId="2EBC0F4F" w14:textId="77777777" w:rsidR="00631A1A" w:rsidRPr="00631A1A" w:rsidRDefault="00631A1A" w:rsidP="008B5D7F">
            <w:pPr>
              <w:spacing w:after="0" w:line="240" w:lineRule="auto"/>
              <w:ind w:firstLine="0"/>
              <w:jc w:val="center"/>
              <w:rPr>
                <w:rFonts w:ascii="Calibri" w:eastAsia="Times New Roman" w:hAnsi="Calibri" w:cs="Calibri"/>
                <w:color w:val="000000"/>
                <w:lang w:val="es-AR" w:eastAsia="es-AR"/>
              </w:rPr>
            </w:pPr>
            <w:r w:rsidRPr="00631A1A">
              <w:rPr>
                <w:rFonts w:ascii="Calibri" w:eastAsia="Times New Roman" w:hAnsi="Calibri" w:cs="Calibri"/>
                <w:color w:val="000000"/>
                <w:lang w:val="es-AR" w:eastAsia="es-AR"/>
              </w:rPr>
              <w:t>0,022</w:t>
            </w:r>
          </w:p>
        </w:tc>
      </w:tr>
    </w:tbl>
    <w:p w14:paraId="1EDD758B" w14:textId="77777777" w:rsidR="007163AB" w:rsidRPr="007163AB" w:rsidRDefault="007163AB" w:rsidP="008B5D7F">
      <w:pPr>
        <w:spacing w:line="240" w:lineRule="auto"/>
        <w:jc w:val="center"/>
        <w:rPr>
          <w:rFonts w:cstheme="minorHAnsi"/>
          <w:sz w:val="16"/>
          <w:szCs w:val="16"/>
          <w:lang w:val="es-AR"/>
        </w:rPr>
      </w:pPr>
      <w:r w:rsidRPr="007163AB">
        <w:rPr>
          <w:rFonts w:cstheme="minorHAnsi"/>
          <w:sz w:val="16"/>
          <w:szCs w:val="16"/>
          <w:lang w:val="es-AR"/>
        </w:rPr>
        <w:t>Fuente: Elaboración propia.</w:t>
      </w:r>
    </w:p>
    <w:p w14:paraId="17822E89" w14:textId="77777777" w:rsidR="002778FD" w:rsidRPr="00F90347" w:rsidRDefault="002778FD" w:rsidP="008B5D7F">
      <w:pPr>
        <w:spacing w:line="240" w:lineRule="auto"/>
        <w:rPr>
          <w:lang w:val="es-AR"/>
        </w:rPr>
      </w:pPr>
      <w:r w:rsidRPr="00F90347">
        <w:rPr>
          <w:lang w:val="es-AR"/>
        </w:rPr>
        <w:t>Se puede destacar que para las dos aproximaciones de EF los resultados obtenidos, en términos relativos, son similares; sin embargo esto no ocurre en el caso de las dos aproximaciones elegidas para la CF.</w:t>
      </w:r>
    </w:p>
    <w:p w14:paraId="120FA451" w14:textId="1D8FD3A2" w:rsidR="002778FD" w:rsidRPr="00F90347" w:rsidRDefault="002778FD" w:rsidP="008B5D7F">
      <w:pPr>
        <w:spacing w:line="240" w:lineRule="auto"/>
        <w:rPr>
          <w:lang w:val="es-AR"/>
        </w:rPr>
      </w:pPr>
      <w:r w:rsidRPr="00F90347">
        <w:rPr>
          <w:lang w:val="es-AR"/>
        </w:rPr>
        <w:t xml:space="preserve">Destacan como las provincias </w:t>
      </w:r>
      <w:r>
        <w:rPr>
          <w:lang w:val="es-AR"/>
        </w:rPr>
        <w:t>con esfuerzo fiscal</w:t>
      </w:r>
      <w:r w:rsidRPr="00F90347">
        <w:rPr>
          <w:lang w:val="es-AR"/>
        </w:rPr>
        <w:t xml:space="preserve"> superior al promedio durante más años CABA, Buenos Aires, Tierra del Fuego, Neuquén, Río Negro, Salta y Santa Fe. </w:t>
      </w:r>
      <w:r>
        <w:rPr>
          <w:lang w:val="es-AR"/>
        </w:rPr>
        <w:t xml:space="preserve">Dentro de las provincias </w:t>
      </w:r>
      <w:r>
        <w:rPr>
          <w:lang w:val="es-AR"/>
        </w:rPr>
        <w:lastRenderedPageBreak/>
        <w:t>con esfuerzo inferior</w:t>
      </w:r>
      <w:r w:rsidRPr="00F90347">
        <w:rPr>
          <w:lang w:val="es-AR"/>
        </w:rPr>
        <w:t xml:space="preserve"> al promedio por más años se puede mencionar a Corrientes, Formosa, Jujuy, La Rioja, Chubut, Catamarca, La Pampa y Santiago del Estero</w:t>
      </w:r>
      <w:r>
        <w:rPr>
          <w:lang w:val="es-AR"/>
        </w:rPr>
        <w:t>. Para el caso de IREF1 también se encuentra en este último grupo Santa Cruz.</w:t>
      </w:r>
    </w:p>
    <w:p w14:paraId="7D1F6188" w14:textId="77777777" w:rsidR="002778FD" w:rsidRPr="00F90347" w:rsidRDefault="002778FD" w:rsidP="008B5D7F">
      <w:pPr>
        <w:spacing w:line="240" w:lineRule="auto"/>
        <w:rPr>
          <w:lang w:val="es-AR"/>
        </w:rPr>
      </w:pPr>
      <w:r w:rsidRPr="00F90347">
        <w:rPr>
          <w:lang w:val="es-AR"/>
        </w:rPr>
        <w:t>Las provincias con mejor performance de EF en el periodo 1993 a 2014 (mejora) son Misiones, Tucumán y Chubut, y las de peor Catamarca, Tierra del Fuego y La Pampa. En el periodo bajo análisis se observa que en general hay más provincias por debajo del EF promedio que por arriba, y un empeoramiento de los valores obtenidos para el periodo analizado.</w:t>
      </w:r>
    </w:p>
    <w:p w14:paraId="58F4A705" w14:textId="42560F67" w:rsidR="007A0D8F" w:rsidRPr="00E95008" w:rsidRDefault="00DF2EC5" w:rsidP="008B5D7F">
      <w:pPr>
        <w:pStyle w:val="Prrafodelista"/>
        <w:numPr>
          <w:ilvl w:val="0"/>
          <w:numId w:val="4"/>
        </w:numPr>
        <w:spacing w:line="240" w:lineRule="auto"/>
        <w:rPr>
          <w:b/>
          <w:lang w:val="es-MX"/>
        </w:rPr>
      </w:pPr>
      <w:r w:rsidRPr="00E95008">
        <w:rPr>
          <w:b/>
          <w:lang w:val="es-MX"/>
        </w:rPr>
        <w:t>Resultados de cantidad de años por arriba y por debajo del promedio anual.</w:t>
      </w:r>
    </w:p>
    <w:tbl>
      <w:tblPr>
        <w:tblW w:w="7220" w:type="dxa"/>
        <w:jc w:val="center"/>
        <w:tblCellMar>
          <w:left w:w="70" w:type="dxa"/>
          <w:right w:w="70" w:type="dxa"/>
        </w:tblCellMar>
        <w:tblLook w:val="04A0" w:firstRow="1" w:lastRow="0" w:firstColumn="1" w:lastColumn="0" w:noHBand="0" w:noVBand="1"/>
      </w:tblPr>
      <w:tblGrid>
        <w:gridCol w:w="2420"/>
        <w:gridCol w:w="1200"/>
        <w:gridCol w:w="1200"/>
        <w:gridCol w:w="1200"/>
        <w:gridCol w:w="1200"/>
      </w:tblGrid>
      <w:tr w:rsidR="00217B68" w:rsidRPr="00217B68" w14:paraId="5AB08341" w14:textId="77777777" w:rsidTr="00217B68">
        <w:trPr>
          <w:trHeight w:val="300"/>
          <w:jc w:val="center"/>
        </w:trPr>
        <w:tc>
          <w:tcPr>
            <w:tcW w:w="2420" w:type="dxa"/>
            <w:tcBorders>
              <w:top w:val="nil"/>
              <w:left w:val="nil"/>
              <w:bottom w:val="nil"/>
              <w:right w:val="nil"/>
            </w:tcBorders>
            <w:shd w:val="clear" w:color="000000" w:fill="FFFFFF"/>
            <w:noWrap/>
            <w:vAlign w:val="bottom"/>
            <w:hideMark/>
          </w:tcPr>
          <w:p w14:paraId="376A7E41" w14:textId="77777777" w:rsidR="00217B68" w:rsidRPr="00217B68" w:rsidRDefault="00217B68" w:rsidP="008B5D7F">
            <w:pPr>
              <w:spacing w:after="0" w:line="240" w:lineRule="auto"/>
              <w:ind w:firstLine="0"/>
              <w:jc w:val="left"/>
              <w:rPr>
                <w:rFonts w:ascii="Calibri" w:eastAsia="Times New Roman" w:hAnsi="Calibri" w:cs="Calibri"/>
                <w:color w:val="000000"/>
                <w:lang w:val="es-AR" w:eastAsia="es-AR"/>
              </w:rPr>
            </w:pPr>
            <w:r w:rsidRPr="00217B68">
              <w:rPr>
                <w:rFonts w:ascii="Calibri" w:eastAsia="Times New Roman" w:hAnsi="Calibri" w:cs="Calibri"/>
                <w:color w:val="000000"/>
                <w:lang w:val="es-AR" w:eastAsia="es-AR"/>
              </w:rPr>
              <w:t>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7A5451" w14:textId="77777777" w:rsidR="00217B68" w:rsidRPr="00217B68" w:rsidRDefault="00217B68" w:rsidP="008B5D7F">
            <w:pPr>
              <w:spacing w:after="0" w:line="240" w:lineRule="auto"/>
              <w:ind w:firstLine="0"/>
              <w:jc w:val="center"/>
              <w:rPr>
                <w:rFonts w:ascii="Calibri" w:eastAsia="Times New Roman" w:hAnsi="Calibri" w:cs="Calibri"/>
                <w:color w:val="000000"/>
                <w:lang w:val="es-AR" w:eastAsia="es-AR"/>
              </w:rPr>
            </w:pPr>
            <w:r w:rsidRPr="00217B68">
              <w:rPr>
                <w:rFonts w:ascii="Calibri" w:eastAsia="Times New Roman" w:hAnsi="Calibri" w:cs="Calibri"/>
                <w:color w:val="000000"/>
                <w:lang w:val="es-AR" w:eastAsia="es-AR"/>
              </w:rPr>
              <w:t>PBG</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6F014C96" w14:textId="77777777" w:rsidR="00217B68" w:rsidRPr="00217B68" w:rsidRDefault="00217B68" w:rsidP="008B5D7F">
            <w:pPr>
              <w:spacing w:after="0" w:line="240" w:lineRule="auto"/>
              <w:ind w:firstLine="0"/>
              <w:jc w:val="center"/>
              <w:rPr>
                <w:rFonts w:ascii="Calibri" w:eastAsia="Times New Roman" w:hAnsi="Calibri" w:cs="Calibri"/>
                <w:color w:val="000000"/>
                <w:lang w:val="es-AR" w:eastAsia="es-AR"/>
              </w:rPr>
            </w:pPr>
            <w:r w:rsidRPr="00217B68">
              <w:rPr>
                <w:rFonts w:ascii="Calibri" w:eastAsia="Times New Roman" w:hAnsi="Calibri" w:cs="Calibri"/>
                <w:color w:val="000000"/>
                <w:lang w:val="es-AR" w:eastAsia="es-AR"/>
              </w:rPr>
              <w:t>CF1</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1FE41A4B" w14:textId="77777777" w:rsidR="00217B68" w:rsidRPr="00217B68" w:rsidRDefault="00217B68" w:rsidP="008B5D7F">
            <w:pPr>
              <w:spacing w:after="0" w:line="240" w:lineRule="auto"/>
              <w:ind w:firstLine="0"/>
              <w:jc w:val="center"/>
              <w:rPr>
                <w:rFonts w:ascii="Calibri" w:eastAsia="Times New Roman" w:hAnsi="Calibri" w:cs="Calibri"/>
                <w:color w:val="000000"/>
                <w:lang w:val="es-AR" w:eastAsia="es-AR"/>
              </w:rPr>
            </w:pPr>
            <w:r w:rsidRPr="00217B68">
              <w:rPr>
                <w:rFonts w:ascii="Calibri" w:eastAsia="Times New Roman" w:hAnsi="Calibri" w:cs="Calibri"/>
                <w:color w:val="000000"/>
                <w:lang w:val="es-AR" w:eastAsia="es-AR"/>
              </w:rPr>
              <w:t>EF1</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0CD17635" w14:textId="77777777" w:rsidR="00217B68" w:rsidRPr="00217B68" w:rsidRDefault="00217B68" w:rsidP="008B5D7F">
            <w:pPr>
              <w:spacing w:after="0" w:line="240" w:lineRule="auto"/>
              <w:ind w:firstLine="0"/>
              <w:jc w:val="center"/>
              <w:rPr>
                <w:rFonts w:ascii="Calibri" w:eastAsia="Times New Roman" w:hAnsi="Calibri" w:cs="Calibri"/>
                <w:color w:val="000000"/>
                <w:lang w:val="es-AR" w:eastAsia="es-AR"/>
              </w:rPr>
            </w:pPr>
            <w:r w:rsidRPr="00217B68">
              <w:rPr>
                <w:rFonts w:ascii="Calibri" w:eastAsia="Times New Roman" w:hAnsi="Calibri" w:cs="Calibri"/>
                <w:color w:val="000000"/>
                <w:lang w:val="es-AR" w:eastAsia="es-AR"/>
              </w:rPr>
              <w:t>IREF1</w:t>
            </w:r>
          </w:p>
        </w:tc>
      </w:tr>
      <w:tr w:rsidR="00217B68" w:rsidRPr="00217B68" w14:paraId="3DFFFD97" w14:textId="77777777" w:rsidTr="00217B68">
        <w:trPr>
          <w:trHeight w:val="1800"/>
          <w:jc w:val="center"/>
        </w:trPr>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830B3" w14:textId="77777777" w:rsidR="00217B68" w:rsidRPr="00217B68" w:rsidRDefault="00217B68" w:rsidP="008B5D7F">
            <w:pPr>
              <w:spacing w:after="0" w:line="240" w:lineRule="auto"/>
              <w:ind w:firstLine="0"/>
              <w:jc w:val="center"/>
              <w:rPr>
                <w:rFonts w:ascii="Calibri" w:eastAsia="Times New Roman" w:hAnsi="Calibri" w:cs="Calibri"/>
                <w:color w:val="000000"/>
                <w:lang w:val="es-AR" w:eastAsia="es-AR"/>
              </w:rPr>
            </w:pPr>
            <w:r w:rsidRPr="00217B68">
              <w:rPr>
                <w:rFonts w:ascii="Calibri" w:eastAsia="Times New Roman" w:hAnsi="Calibri" w:cs="Calibri"/>
                <w:color w:val="000000"/>
                <w:lang w:val="es-AR" w:eastAsia="es-AR"/>
              </w:rPr>
              <w:t xml:space="preserve">SIEMPRE por ARRIBA </w:t>
            </w:r>
          </w:p>
        </w:tc>
        <w:tc>
          <w:tcPr>
            <w:tcW w:w="1200" w:type="dxa"/>
            <w:tcBorders>
              <w:top w:val="nil"/>
              <w:left w:val="nil"/>
              <w:bottom w:val="single" w:sz="4" w:space="0" w:color="auto"/>
              <w:right w:val="single" w:sz="4" w:space="0" w:color="auto"/>
            </w:tcBorders>
            <w:shd w:val="clear" w:color="auto" w:fill="auto"/>
            <w:vAlign w:val="center"/>
            <w:hideMark/>
          </w:tcPr>
          <w:p w14:paraId="0F6125F0" w14:textId="77777777" w:rsidR="00217B68" w:rsidRPr="00217B68" w:rsidRDefault="00217B68" w:rsidP="008B5D7F">
            <w:pPr>
              <w:spacing w:after="0" w:line="240" w:lineRule="auto"/>
              <w:ind w:firstLine="0"/>
              <w:jc w:val="center"/>
              <w:rPr>
                <w:rFonts w:ascii="Calibri" w:eastAsia="Times New Roman" w:hAnsi="Calibri" w:cs="Calibri"/>
                <w:color w:val="000000"/>
                <w:lang w:eastAsia="es-AR"/>
              </w:rPr>
            </w:pPr>
            <w:r w:rsidRPr="00217B68">
              <w:rPr>
                <w:rFonts w:ascii="Calibri" w:eastAsia="Times New Roman" w:hAnsi="Calibri" w:cs="Calibri"/>
                <w:color w:val="000000"/>
                <w:lang w:eastAsia="es-AR"/>
              </w:rPr>
              <w:t>CABA</w:t>
            </w:r>
            <w:r w:rsidRPr="00217B68">
              <w:rPr>
                <w:rFonts w:ascii="Calibri" w:eastAsia="Times New Roman" w:hAnsi="Calibri" w:cs="Calibri"/>
                <w:color w:val="000000"/>
                <w:lang w:eastAsia="es-AR"/>
              </w:rPr>
              <w:br/>
              <w:t>Bs. As.</w:t>
            </w:r>
            <w:r w:rsidRPr="00217B68">
              <w:rPr>
                <w:rFonts w:ascii="Calibri" w:eastAsia="Times New Roman" w:hAnsi="Calibri" w:cs="Calibri"/>
                <w:color w:val="000000"/>
                <w:lang w:eastAsia="es-AR"/>
              </w:rPr>
              <w:br/>
              <w:t>Sta Fe</w:t>
            </w:r>
            <w:r w:rsidRPr="00217B68">
              <w:rPr>
                <w:rFonts w:ascii="Calibri" w:eastAsia="Times New Roman" w:hAnsi="Calibri" w:cs="Calibri"/>
                <w:color w:val="000000"/>
                <w:lang w:eastAsia="es-AR"/>
              </w:rPr>
              <w:br/>
              <w:t>Cba</w:t>
            </w:r>
          </w:p>
        </w:tc>
        <w:tc>
          <w:tcPr>
            <w:tcW w:w="1200" w:type="dxa"/>
            <w:tcBorders>
              <w:top w:val="nil"/>
              <w:left w:val="nil"/>
              <w:bottom w:val="single" w:sz="4" w:space="0" w:color="auto"/>
              <w:right w:val="single" w:sz="4" w:space="0" w:color="auto"/>
            </w:tcBorders>
            <w:shd w:val="clear" w:color="auto" w:fill="auto"/>
            <w:vAlign w:val="center"/>
            <w:hideMark/>
          </w:tcPr>
          <w:p w14:paraId="1CF912AD" w14:textId="77777777" w:rsidR="00217B68" w:rsidRPr="00217B68" w:rsidRDefault="00217B68" w:rsidP="008B5D7F">
            <w:pPr>
              <w:spacing w:after="0" w:line="240" w:lineRule="auto"/>
              <w:ind w:firstLine="0"/>
              <w:jc w:val="center"/>
              <w:rPr>
                <w:rFonts w:ascii="Calibri" w:eastAsia="Times New Roman" w:hAnsi="Calibri" w:cs="Calibri"/>
                <w:color w:val="000000"/>
                <w:lang w:val="es-AR" w:eastAsia="es-AR"/>
              </w:rPr>
            </w:pPr>
            <w:r w:rsidRPr="00217B68">
              <w:rPr>
                <w:rFonts w:ascii="Calibri" w:eastAsia="Times New Roman" w:hAnsi="Calibri" w:cs="Calibri"/>
                <w:color w:val="000000"/>
                <w:lang w:val="es-AR" w:eastAsia="es-AR"/>
              </w:rPr>
              <w:t>CABA</w:t>
            </w:r>
            <w:r w:rsidRPr="00217B68">
              <w:rPr>
                <w:rFonts w:ascii="Calibri" w:eastAsia="Times New Roman" w:hAnsi="Calibri" w:cs="Calibri"/>
                <w:color w:val="000000"/>
                <w:lang w:val="es-AR" w:eastAsia="es-AR"/>
              </w:rPr>
              <w:br/>
              <w:t>Chubut</w:t>
            </w:r>
            <w:r w:rsidRPr="00217B68">
              <w:rPr>
                <w:rFonts w:ascii="Calibri" w:eastAsia="Times New Roman" w:hAnsi="Calibri" w:cs="Calibri"/>
                <w:color w:val="000000"/>
                <w:lang w:val="es-AR" w:eastAsia="es-AR"/>
              </w:rPr>
              <w:br/>
              <w:t>La Pampa</w:t>
            </w:r>
            <w:r w:rsidRPr="00217B68">
              <w:rPr>
                <w:rFonts w:ascii="Calibri" w:eastAsia="Times New Roman" w:hAnsi="Calibri" w:cs="Calibri"/>
                <w:color w:val="000000"/>
                <w:lang w:val="es-AR" w:eastAsia="es-AR"/>
              </w:rPr>
              <w:br/>
              <w:t>Neuquén</w:t>
            </w:r>
            <w:r w:rsidRPr="00217B68">
              <w:rPr>
                <w:rFonts w:ascii="Calibri" w:eastAsia="Times New Roman" w:hAnsi="Calibri" w:cs="Calibri"/>
                <w:color w:val="000000"/>
                <w:lang w:val="es-AR" w:eastAsia="es-AR"/>
              </w:rPr>
              <w:br/>
              <w:t>Sta Cruz</w:t>
            </w:r>
            <w:r w:rsidRPr="00217B68">
              <w:rPr>
                <w:rFonts w:ascii="Calibri" w:eastAsia="Times New Roman" w:hAnsi="Calibri" w:cs="Calibri"/>
                <w:color w:val="000000"/>
                <w:lang w:val="es-AR" w:eastAsia="es-AR"/>
              </w:rPr>
              <w:br/>
              <w:t>Tierra d.F.</w:t>
            </w:r>
          </w:p>
        </w:tc>
        <w:tc>
          <w:tcPr>
            <w:tcW w:w="1200" w:type="dxa"/>
            <w:tcBorders>
              <w:top w:val="nil"/>
              <w:left w:val="nil"/>
              <w:bottom w:val="single" w:sz="4" w:space="0" w:color="auto"/>
              <w:right w:val="single" w:sz="4" w:space="0" w:color="auto"/>
            </w:tcBorders>
            <w:shd w:val="clear" w:color="auto" w:fill="auto"/>
            <w:vAlign w:val="center"/>
            <w:hideMark/>
          </w:tcPr>
          <w:p w14:paraId="1A4E29F4" w14:textId="77777777" w:rsidR="00217B68" w:rsidRPr="00217B68" w:rsidRDefault="00217B68" w:rsidP="008B5D7F">
            <w:pPr>
              <w:spacing w:after="0" w:line="240" w:lineRule="auto"/>
              <w:ind w:firstLine="0"/>
              <w:jc w:val="center"/>
              <w:rPr>
                <w:rFonts w:ascii="Calibri" w:eastAsia="Times New Roman" w:hAnsi="Calibri" w:cs="Calibri"/>
                <w:color w:val="000000"/>
                <w:lang w:val="es-AR" w:eastAsia="es-AR"/>
              </w:rPr>
            </w:pPr>
            <w:r w:rsidRPr="00217B68">
              <w:rPr>
                <w:rFonts w:ascii="Calibri" w:eastAsia="Times New Roman" w:hAnsi="Calibri" w:cs="Calibri"/>
                <w:color w:val="000000"/>
                <w:lang w:val="es-AR" w:eastAsia="es-AR"/>
              </w:rPr>
              <w:t>CABA</w:t>
            </w:r>
            <w:r w:rsidRPr="00217B68">
              <w:rPr>
                <w:rFonts w:ascii="Calibri" w:eastAsia="Times New Roman" w:hAnsi="Calibri" w:cs="Calibri"/>
                <w:color w:val="000000"/>
                <w:lang w:val="es-AR" w:eastAsia="es-AR"/>
              </w:rPr>
              <w:br/>
              <w:t>Bs As</w:t>
            </w:r>
          </w:p>
        </w:tc>
        <w:tc>
          <w:tcPr>
            <w:tcW w:w="1200" w:type="dxa"/>
            <w:tcBorders>
              <w:top w:val="nil"/>
              <w:left w:val="nil"/>
              <w:bottom w:val="single" w:sz="4" w:space="0" w:color="auto"/>
              <w:right w:val="single" w:sz="4" w:space="0" w:color="auto"/>
            </w:tcBorders>
            <w:shd w:val="clear" w:color="auto" w:fill="auto"/>
            <w:vAlign w:val="center"/>
            <w:hideMark/>
          </w:tcPr>
          <w:p w14:paraId="43AC2479" w14:textId="77777777" w:rsidR="00217B68" w:rsidRPr="00217B68" w:rsidRDefault="00217B68" w:rsidP="008B5D7F">
            <w:pPr>
              <w:spacing w:after="0" w:line="240" w:lineRule="auto"/>
              <w:ind w:firstLine="0"/>
              <w:jc w:val="center"/>
              <w:rPr>
                <w:rFonts w:ascii="Calibri" w:eastAsia="Times New Roman" w:hAnsi="Calibri" w:cs="Calibri"/>
                <w:color w:val="000000"/>
                <w:lang w:val="es-AR" w:eastAsia="es-AR"/>
              </w:rPr>
            </w:pPr>
            <w:r w:rsidRPr="00217B68">
              <w:rPr>
                <w:rFonts w:ascii="Calibri" w:eastAsia="Times New Roman" w:hAnsi="Calibri" w:cs="Calibri"/>
                <w:color w:val="000000"/>
                <w:lang w:val="es-AR" w:eastAsia="es-AR"/>
              </w:rPr>
              <w:t>CABA</w:t>
            </w:r>
            <w:r w:rsidRPr="00217B68">
              <w:rPr>
                <w:rFonts w:ascii="Calibri" w:eastAsia="Times New Roman" w:hAnsi="Calibri" w:cs="Calibri"/>
                <w:color w:val="000000"/>
                <w:lang w:val="es-AR" w:eastAsia="es-AR"/>
              </w:rPr>
              <w:br/>
              <w:t>Bs As</w:t>
            </w:r>
          </w:p>
        </w:tc>
      </w:tr>
      <w:tr w:rsidR="00217B68" w:rsidRPr="00EE621F" w14:paraId="36F3EDB6" w14:textId="77777777" w:rsidTr="00217B68">
        <w:trPr>
          <w:trHeight w:val="1500"/>
          <w:jc w:val="center"/>
        </w:trPr>
        <w:tc>
          <w:tcPr>
            <w:tcW w:w="2420" w:type="dxa"/>
            <w:tcBorders>
              <w:top w:val="nil"/>
              <w:left w:val="single" w:sz="4" w:space="0" w:color="auto"/>
              <w:bottom w:val="single" w:sz="4" w:space="0" w:color="auto"/>
              <w:right w:val="single" w:sz="4" w:space="0" w:color="auto"/>
            </w:tcBorders>
            <w:shd w:val="clear" w:color="auto" w:fill="auto"/>
            <w:vAlign w:val="center"/>
            <w:hideMark/>
          </w:tcPr>
          <w:p w14:paraId="20B05636" w14:textId="77777777" w:rsidR="00217B68" w:rsidRPr="00217B68" w:rsidRDefault="00217B68" w:rsidP="008B5D7F">
            <w:pPr>
              <w:spacing w:after="0" w:line="240" w:lineRule="auto"/>
              <w:ind w:firstLine="0"/>
              <w:jc w:val="center"/>
              <w:rPr>
                <w:rFonts w:ascii="Calibri" w:eastAsia="Times New Roman" w:hAnsi="Calibri" w:cs="Calibri"/>
                <w:color w:val="000000"/>
                <w:lang w:val="es-AR" w:eastAsia="es-AR"/>
              </w:rPr>
            </w:pPr>
            <w:r w:rsidRPr="00217B68">
              <w:rPr>
                <w:rFonts w:ascii="Calibri" w:eastAsia="Times New Roman" w:hAnsi="Calibri" w:cs="Calibri"/>
                <w:color w:val="000000"/>
                <w:lang w:val="es-AR" w:eastAsia="es-AR"/>
              </w:rPr>
              <w:t>Gran mayoría de veces por ARRIBA</w:t>
            </w:r>
          </w:p>
        </w:tc>
        <w:tc>
          <w:tcPr>
            <w:tcW w:w="1200" w:type="dxa"/>
            <w:tcBorders>
              <w:top w:val="nil"/>
              <w:left w:val="nil"/>
              <w:bottom w:val="single" w:sz="4" w:space="0" w:color="auto"/>
              <w:right w:val="single" w:sz="4" w:space="0" w:color="auto"/>
            </w:tcBorders>
            <w:shd w:val="clear" w:color="auto" w:fill="auto"/>
            <w:noWrap/>
            <w:vAlign w:val="center"/>
            <w:hideMark/>
          </w:tcPr>
          <w:p w14:paraId="27E80C9E" w14:textId="77777777" w:rsidR="00217B68" w:rsidRPr="00217B68" w:rsidRDefault="00217B68" w:rsidP="008B5D7F">
            <w:pPr>
              <w:spacing w:after="0" w:line="240" w:lineRule="auto"/>
              <w:ind w:firstLine="0"/>
              <w:jc w:val="center"/>
              <w:rPr>
                <w:rFonts w:ascii="Calibri" w:eastAsia="Times New Roman" w:hAnsi="Calibri" w:cs="Calibri"/>
                <w:color w:val="000000"/>
                <w:lang w:val="es-AR" w:eastAsia="es-AR"/>
              </w:rPr>
            </w:pPr>
            <w:r w:rsidRPr="00217B68">
              <w:rPr>
                <w:rFonts w:ascii="Calibri" w:eastAsia="Times New Roman" w:hAnsi="Calibri" w:cs="Calibri"/>
                <w:color w:val="000000"/>
                <w:lang w:val="es-AR" w:eastAsia="es-AR"/>
              </w:rPr>
              <w:t> </w:t>
            </w:r>
          </w:p>
        </w:tc>
        <w:tc>
          <w:tcPr>
            <w:tcW w:w="1200" w:type="dxa"/>
            <w:tcBorders>
              <w:top w:val="nil"/>
              <w:left w:val="nil"/>
              <w:bottom w:val="single" w:sz="4" w:space="0" w:color="auto"/>
              <w:right w:val="single" w:sz="4" w:space="0" w:color="auto"/>
            </w:tcBorders>
            <w:shd w:val="clear" w:color="auto" w:fill="auto"/>
            <w:noWrap/>
            <w:vAlign w:val="center"/>
            <w:hideMark/>
          </w:tcPr>
          <w:p w14:paraId="0C38C951" w14:textId="77777777" w:rsidR="00217B68" w:rsidRPr="00217B68" w:rsidRDefault="00217B68" w:rsidP="008B5D7F">
            <w:pPr>
              <w:spacing w:after="0" w:line="240" w:lineRule="auto"/>
              <w:ind w:firstLine="0"/>
              <w:jc w:val="center"/>
              <w:rPr>
                <w:rFonts w:ascii="Calibri" w:eastAsia="Times New Roman" w:hAnsi="Calibri" w:cs="Calibri"/>
                <w:color w:val="000000"/>
                <w:lang w:val="es-AR" w:eastAsia="es-AR"/>
              </w:rPr>
            </w:pPr>
            <w:r w:rsidRPr="00217B68">
              <w:rPr>
                <w:rFonts w:ascii="Calibri" w:eastAsia="Times New Roman" w:hAnsi="Calibri" w:cs="Calibri"/>
                <w:color w:val="000000"/>
                <w:lang w:val="es-AR" w:eastAsia="es-AR"/>
              </w:rPr>
              <w:t> </w:t>
            </w:r>
          </w:p>
        </w:tc>
        <w:tc>
          <w:tcPr>
            <w:tcW w:w="1200" w:type="dxa"/>
            <w:tcBorders>
              <w:top w:val="nil"/>
              <w:left w:val="nil"/>
              <w:bottom w:val="single" w:sz="4" w:space="0" w:color="auto"/>
              <w:right w:val="single" w:sz="4" w:space="0" w:color="auto"/>
            </w:tcBorders>
            <w:shd w:val="clear" w:color="auto" w:fill="auto"/>
            <w:vAlign w:val="center"/>
            <w:hideMark/>
          </w:tcPr>
          <w:p w14:paraId="798FD993" w14:textId="77777777" w:rsidR="00217B68" w:rsidRPr="00217B68" w:rsidRDefault="00217B68" w:rsidP="008B5D7F">
            <w:pPr>
              <w:spacing w:after="0" w:line="240" w:lineRule="auto"/>
              <w:ind w:firstLine="0"/>
              <w:jc w:val="center"/>
              <w:rPr>
                <w:rFonts w:ascii="Calibri" w:eastAsia="Times New Roman" w:hAnsi="Calibri" w:cs="Calibri"/>
                <w:color w:val="000000"/>
                <w:lang w:val="es-AR" w:eastAsia="es-AR"/>
              </w:rPr>
            </w:pPr>
            <w:r w:rsidRPr="00217B68">
              <w:rPr>
                <w:rFonts w:ascii="Calibri" w:eastAsia="Times New Roman" w:hAnsi="Calibri" w:cs="Calibri"/>
                <w:color w:val="000000"/>
                <w:lang w:val="es-AR" w:eastAsia="es-AR"/>
              </w:rPr>
              <w:t>Tierra d.F.</w:t>
            </w:r>
            <w:r w:rsidRPr="00217B68">
              <w:rPr>
                <w:rFonts w:ascii="Calibri" w:eastAsia="Times New Roman" w:hAnsi="Calibri" w:cs="Calibri"/>
                <w:color w:val="000000"/>
                <w:lang w:val="es-AR" w:eastAsia="es-AR"/>
              </w:rPr>
              <w:br/>
              <w:t>Neuquén</w:t>
            </w:r>
            <w:r w:rsidRPr="00217B68">
              <w:rPr>
                <w:rFonts w:ascii="Calibri" w:eastAsia="Times New Roman" w:hAnsi="Calibri" w:cs="Calibri"/>
                <w:color w:val="000000"/>
                <w:lang w:val="es-AR" w:eastAsia="es-AR"/>
              </w:rPr>
              <w:br/>
              <w:t>Río Negro</w:t>
            </w:r>
            <w:r w:rsidRPr="00217B68">
              <w:rPr>
                <w:rFonts w:ascii="Calibri" w:eastAsia="Times New Roman" w:hAnsi="Calibri" w:cs="Calibri"/>
                <w:color w:val="000000"/>
                <w:lang w:val="es-AR" w:eastAsia="es-AR"/>
              </w:rPr>
              <w:br/>
              <w:t>Salta</w:t>
            </w:r>
            <w:r w:rsidRPr="00217B68">
              <w:rPr>
                <w:rFonts w:ascii="Calibri" w:eastAsia="Times New Roman" w:hAnsi="Calibri" w:cs="Calibri"/>
                <w:color w:val="000000"/>
                <w:lang w:val="es-AR" w:eastAsia="es-AR"/>
              </w:rPr>
              <w:br/>
              <w:t>Sta Fe</w:t>
            </w:r>
          </w:p>
        </w:tc>
        <w:tc>
          <w:tcPr>
            <w:tcW w:w="1200" w:type="dxa"/>
            <w:tcBorders>
              <w:top w:val="nil"/>
              <w:left w:val="nil"/>
              <w:bottom w:val="single" w:sz="4" w:space="0" w:color="auto"/>
              <w:right w:val="single" w:sz="4" w:space="0" w:color="auto"/>
            </w:tcBorders>
            <w:shd w:val="clear" w:color="auto" w:fill="auto"/>
            <w:vAlign w:val="center"/>
            <w:hideMark/>
          </w:tcPr>
          <w:p w14:paraId="1E9AE29A" w14:textId="77777777" w:rsidR="00217B68" w:rsidRPr="00217B68" w:rsidRDefault="00217B68" w:rsidP="008B5D7F">
            <w:pPr>
              <w:spacing w:after="0" w:line="240" w:lineRule="auto"/>
              <w:ind w:firstLine="0"/>
              <w:jc w:val="center"/>
              <w:rPr>
                <w:rFonts w:ascii="Calibri" w:eastAsia="Times New Roman" w:hAnsi="Calibri" w:cs="Calibri"/>
                <w:color w:val="000000"/>
                <w:lang w:val="es-AR" w:eastAsia="es-AR"/>
              </w:rPr>
            </w:pPr>
            <w:r w:rsidRPr="00217B68">
              <w:rPr>
                <w:rFonts w:ascii="Calibri" w:eastAsia="Times New Roman" w:hAnsi="Calibri" w:cs="Calibri"/>
                <w:color w:val="000000"/>
                <w:lang w:val="es-AR" w:eastAsia="es-AR"/>
              </w:rPr>
              <w:t>Tierra d.F.</w:t>
            </w:r>
            <w:r w:rsidRPr="00217B68">
              <w:rPr>
                <w:rFonts w:ascii="Calibri" w:eastAsia="Times New Roman" w:hAnsi="Calibri" w:cs="Calibri"/>
                <w:color w:val="000000"/>
                <w:lang w:val="es-AR" w:eastAsia="es-AR"/>
              </w:rPr>
              <w:br/>
              <w:t>Neuquén</w:t>
            </w:r>
            <w:r w:rsidRPr="00217B68">
              <w:rPr>
                <w:rFonts w:ascii="Calibri" w:eastAsia="Times New Roman" w:hAnsi="Calibri" w:cs="Calibri"/>
                <w:color w:val="000000"/>
                <w:lang w:val="es-AR" w:eastAsia="es-AR"/>
              </w:rPr>
              <w:br/>
              <w:t>Río Negro</w:t>
            </w:r>
            <w:r w:rsidRPr="00217B68">
              <w:rPr>
                <w:rFonts w:ascii="Calibri" w:eastAsia="Times New Roman" w:hAnsi="Calibri" w:cs="Calibri"/>
                <w:color w:val="000000"/>
                <w:lang w:val="es-AR" w:eastAsia="es-AR"/>
              </w:rPr>
              <w:br/>
              <w:t>Salta</w:t>
            </w:r>
            <w:r w:rsidRPr="00217B68">
              <w:rPr>
                <w:rFonts w:ascii="Calibri" w:eastAsia="Times New Roman" w:hAnsi="Calibri" w:cs="Calibri"/>
                <w:color w:val="000000"/>
                <w:lang w:val="es-AR" w:eastAsia="es-AR"/>
              </w:rPr>
              <w:br/>
              <w:t>Sta Fe</w:t>
            </w:r>
          </w:p>
        </w:tc>
      </w:tr>
      <w:tr w:rsidR="00217B68" w:rsidRPr="00EE621F" w14:paraId="3732E520" w14:textId="77777777" w:rsidTr="00217B68">
        <w:trPr>
          <w:trHeight w:val="1500"/>
          <w:jc w:val="center"/>
        </w:trPr>
        <w:tc>
          <w:tcPr>
            <w:tcW w:w="2420" w:type="dxa"/>
            <w:tcBorders>
              <w:top w:val="nil"/>
              <w:left w:val="single" w:sz="4" w:space="0" w:color="auto"/>
              <w:bottom w:val="single" w:sz="4" w:space="0" w:color="auto"/>
              <w:right w:val="single" w:sz="4" w:space="0" w:color="auto"/>
            </w:tcBorders>
            <w:shd w:val="clear" w:color="auto" w:fill="auto"/>
            <w:vAlign w:val="center"/>
            <w:hideMark/>
          </w:tcPr>
          <w:p w14:paraId="46F328B2" w14:textId="77777777" w:rsidR="00217B68" w:rsidRPr="00217B68" w:rsidRDefault="00217B68" w:rsidP="008B5D7F">
            <w:pPr>
              <w:spacing w:after="0" w:line="240" w:lineRule="auto"/>
              <w:ind w:firstLine="0"/>
              <w:jc w:val="center"/>
              <w:rPr>
                <w:rFonts w:ascii="Calibri" w:eastAsia="Times New Roman" w:hAnsi="Calibri" w:cs="Calibri"/>
                <w:color w:val="000000"/>
                <w:lang w:val="es-AR" w:eastAsia="es-AR"/>
              </w:rPr>
            </w:pPr>
            <w:r w:rsidRPr="00217B68">
              <w:rPr>
                <w:rFonts w:ascii="Calibri" w:eastAsia="Times New Roman" w:hAnsi="Calibri" w:cs="Calibri"/>
                <w:color w:val="000000"/>
                <w:lang w:val="es-AR" w:eastAsia="es-AR"/>
              </w:rPr>
              <w:t>SIEMPRE por ABAJO</w:t>
            </w:r>
          </w:p>
        </w:tc>
        <w:tc>
          <w:tcPr>
            <w:tcW w:w="1200" w:type="dxa"/>
            <w:tcBorders>
              <w:top w:val="nil"/>
              <w:left w:val="nil"/>
              <w:bottom w:val="single" w:sz="4" w:space="0" w:color="auto"/>
              <w:right w:val="single" w:sz="4" w:space="0" w:color="auto"/>
            </w:tcBorders>
            <w:shd w:val="clear" w:color="auto" w:fill="auto"/>
            <w:noWrap/>
            <w:vAlign w:val="center"/>
            <w:hideMark/>
          </w:tcPr>
          <w:p w14:paraId="796D1CBC" w14:textId="77777777" w:rsidR="00217B68" w:rsidRPr="00217B68" w:rsidRDefault="00217B68" w:rsidP="008B5D7F">
            <w:pPr>
              <w:spacing w:after="0" w:line="240" w:lineRule="auto"/>
              <w:ind w:firstLine="0"/>
              <w:jc w:val="center"/>
              <w:rPr>
                <w:rFonts w:ascii="Calibri" w:eastAsia="Times New Roman" w:hAnsi="Calibri" w:cs="Calibri"/>
                <w:color w:val="000000"/>
                <w:lang w:val="es-AR" w:eastAsia="es-AR"/>
              </w:rPr>
            </w:pPr>
            <w:r w:rsidRPr="00217B68">
              <w:rPr>
                <w:rFonts w:ascii="Calibri" w:eastAsia="Times New Roman" w:hAnsi="Calibri" w:cs="Calibri"/>
                <w:color w:val="000000"/>
                <w:lang w:val="es-AR" w:eastAsia="es-AR"/>
              </w:rPr>
              <w:t>Resto</w:t>
            </w:r>
          </w:p>
        </w:tc>
        <w:tc>
          <w:tcPr>
            <w:tcW w:w="1200" w:type="dxa"/>
            <w:tcBorders>
              <w:top w:val="nil"/>
              <w:left w:val="nil"/>
              <w:bottom w:val="single" w:sz="4" w:space="0" w:color="auto"/>
              <w:right w:val="single" w:sz="4" w:space="0" w:color="auto"/>
            </w:tcBorders>
            <w:shd w:val="clear" w:color="auto" w:fill="auto"/>
            <w:vAlign w:val="center"/>
            <w:hideMark/>
          </w:tcPr>
          <w:p w14:paraId="69F463F6" w14:textId="77777777" w:rsidR="00217B68" w:rsidRPr="00217B68" w:rsidRDefault="00217B68" w:rsidP="008B5D7F">
            <w:pPr>
              <w:spacing w:after="0" w:line="240" w:lineRule="auto"/>
              <w:ind w:firstLine="0"/>
              <w:jc w:val="center"/>
              <w:rPr>
                <w:rFonts w:ascii="Calibri" w:eastAsia="Times New Roman" w:hAnsi="Calibri" w:cs="Calibri"/>
                <w:color w:val="000000"/>
                <w:lang w:val="es-AR" w:eastAsia="es-AR"/>
              </w:rPr>
            </w:pPr>
            <w:r w:rsidRPr="00217B68">
              <w:rPr>
                <w:rFonts w:ascii="Calibri" w:eastAsia="Times New Roman" w:hAnsi="Calibri" w:cs="Calibri"/>
                <w:color w:val="000000"/>
                <w:lang w:val="es-AR" w:eastAsia="es-AR"/>
              </w:rPr>
              <w:t>Resto excepto:</w:t>
            </w:r>
            <w:r w:rsidRPr="00217B68">
              <w:rPr>
                <w:rFonts w:ascii="Calibri" w:eastAsia="Times New Roman" w:hAnsi="Calibri" w:cs="Calibri"/>
                <w:color w:val="000000"/>
                <w:lang w:val="es-AR" w:eastAsia="es-AR"/>
              </w:rPr>
              <w:br/>
              <w:t>Catamarca</w:t>
            </w:r>
            <w:r w:rsidRPr="00217B68">
              <w:rPr>
                <w:rFonts w:ascii="Calibri" w:eastAsia="Times New Roman" w:hAnsi="Calibri" w:cs="Calibri"/>
                <w:color w:val="000000"/>
                <w:lang w:val="es-AR" w:eastAsia="es-AR"/>
              </w:rPr>
              <w:br/>
              <w:t>Mza</w:t>
            </w:r>
            <w:r w:rsidRPr="00217B68">
              <w:rPr>
                <w:rFonts w:ascii="Calibri" w:eastAsia="Times New Roman" w:hAnsi="Calibri" w:cs="Calibri"/>
                <w:color w:val="000000"/>
                <w:lang w:val="es-AR" w:eastAsia="es-AR"/>
              </w:rPr>
              <w:br/>
              <w:t>San Luis</w:t>
            </w:r>
          </w:p>
        </w:tc>
        <w:tc>
          <w:tcPr>
            <w:tcW w:w="1200" w:type="dxa"/>
            <w:tcBorders>
              <w:top w:val="nil"/>
              <w:left w:val="nil"/>
              <w:bottom w:val="single" w:sz="4" w:space="0" w:color="auto"/>
              <w:right w:val="single" w:sz="4" w:space="0" w:color="auto"/>
            </w:tcBorders>
            <w:shd w:val="clear" w:color="auto" w:fill="auto"/>
            <w:vAlign w:val="center"/>
            <w:hideMark/>
          </w:tcPr>
          <w:p w14:paraId="5FABC462" w14:textId="77777777" w:rsidR="00217B68" w:rsidRPr="00217B68" w:rsidRDefault="00217B68" w:rsidP="008B5D7F">
            <w:pPr>
              <w:spacing w:after="0" w:line="240" w:lineRule="auto"/>
              <w:ind w:firstLine="0"/>
              <w:jc w:val="center"/>
              <w:rPr>
                <w:rFonts w:ascii="Calibri" w:eastAsia="Times New Roman" w:hAnsi="Calibri" w:cs="Calibri"/>
                <w:color w:val="000000"/>
                <w:lang w:val="es-AR" w:eastAsia="es-AR"/>
              </w:rPr>
            </w:pPr>
            <w:r w:rsidRPr="00217B68">
              <w:rPr>
                <w:rFonts w:ascii="Calibri" w:eastAsia="Times New Roman" w:hAnsi="Calibri" w:cs="Calibri"/>
                <w:color w:val="000000"/>
                <w:lang w:val="es-AR" w:eastAsia="es-AR"/>
              </w:rPr>
              <w:t>Corrientes</w:t>
            </w:r>
            <w:r w:rsidRPr="00217B68">
              <w:rPr>
                <w:rFonts w:ascii="Calibri" w:eastAsia="Times New Roman" w:hAnsi="Calibri" w:cs="Calibri"/>
                <w:color w:val="000000"/>
                <w:lang w:val="es-AR" w:eastAsia="es-AR"/>
              </w:rPr>
              <w:br/>
              <w:t>Formosa</w:t>
            </w:r>
            <w:r w:rsidRPr="00217B68">
              <w:rPr>
                <w:rFonts w:ascii="Calibri" w:eastAsia="Times New Roman" w:hAnsi="Calibri" w:cs="Calibri"/>
                <w:color w:val="000000"/>
                <w:lang w:val="es-AR" w:eastAsia="es-AR"/>
              </w:rPr>
              <w:br/>
              <w:t>Jujuy</w:t>
            </w:r>
            <w:r w:rsidRPr="00217B68">
              <w:rPr>
                <w:rFonts w:ascii="Calibri" w:eastAsia="Times New Roman" w:hAnsi="Calibri" w:cs="Calibri"/>
                <w:color w:val="000000"/>
                <w:lang w:val="es-AR" w:eastAsia="es-AR"/>
              </w:rPr>
              <w:br/>
              <w:t>La Rioa</w:t>
            </w:r>
          </w:p>
        </w:tc>
        <w:tc>
          <w:tcPr>
            <w:tcW w:w="1200" w:type="dxa"/>
            <w:tcBorders>
              <w:top w:val="nil"/>
              <w:left w:val="nil"/>
              <w:bottom w:val="single" w:sz="4" w:space="0" w:color="auto"/>
              <w:right w:val="single" w:sz="4" w:space="0" w:color="auto"/>
            </w:tcBorders>
            <w:shd w:val="clear" w:color="auto" w:fill="auto"/>
            <w:vAlign w:val="center"/>
            <w:hideMark/>
          </w:tcPr>
          <w:p w14:paraId="5B99D2A5" w14:textId="77777777" w:rsidR="00217B68" w:rsidRPr="00217B68" w:rsidRDefault="00217B68" w:rsidP="008B5D7F">
            <w:pPr>
              <w:spacing w:after="0" w:line="240" w:lineRule="auto"/>
              <w:ind w:firstLine="0"/>
              <w:jc w:val="center"/>
              <w:rPr>
                <w:rFonts w:ascii="Calibri" w:eastAsia="Times New Roman" w:hAnsi="Calibri" w:cs="Calibri"/>
                <w:color w:val="000000"/>
                <w:lang w:val="es-AR" w:eastAsia="es-AR"/>
              </w:rPr>
            </w:pPr>
            <w:r w:rsidRPr="00217B68">
              <w:rPr>
                <w:rFonts w:ascii="Calibri" w:eastAsia="Times New Roman" w:hAnsi="Calibri" w:cs="Calibri"/>
                <w:color w:val="000000"/>
                <w:lang w:val="es-AR" w:eastAsia="es-AR"/>
              </w:rPr>
              <w:t>Corrientes</w:t>
            </w:r>
            <w:r w:rsidRPr="00217B68">
              <w:rPr>
                <w:rFonts w:ascii="Calibri" w:eastAsia="Times New Roman" w:hAnsi="Calibri" w:cs="Calibri"/>
                <w:color w:val="000000"/>
                <w:lang w:val="es-AR" w:eastAsia="es-AR"/>
              </w:rPr>
              <w:br/>
              <w:t>Formosa</w:t>
            </w:r>
            <w:r w:rsidRPr="00217B68">
              <w:rPr>
                <w:rFonts w:ascii="Calibri" w:eastAsia="Times New Roman" w:hAnsi="Calibri" w:cs="Calibri"/>
                <w:color w:val="000000"/>
                <w:lang w:val="es-AR" w:eastAsia="es-AR"/>
              </w:rPr>
              <w:br/>
              <w:t>Jujuy</w:t>
            </w:r>
            <w:r w:rsidRPr="00217B68">
              <w:rPr>
                <w:rFonts w:ascii="Calibri" w:eastAsia="Times New Roman" w:hAnsi="Calibri" w:cs="Calibri"/>
                <w:color w:val="000000"/>
                <w:lang w:val="es-AR" w:eastAsia="es-AR"/>
              </w:rPr>
              <w:br/>
              <w:t>La Rioja</w:t>
            </w:r>
          </w:p>
        </w:tc>
      </w:tr>
      <w:tr w:rsidR="00217B68" w:rsidRPr="00EE621F" w14:paraId="1AD6BFEB" w14:textId="77777777" w:rsidTr="00217B68">
        <w:trPr>
          <w:trHeight w:val="1500"/>
          <w:jc w:val="center"/>
        </w:trPr>
        <w:tc>
          <w:tcPr>
            <w:tcW w:w="2420" w:type="dxa"/>
            <w:tcBorders>
              <w:top w:val="nil"/>
              <w:left w:val="single" w:sz="4" w:space="0" w:color="auto"/>
              <w:bottom w:val="single" w:sz="4" w:space="0" w:color="auto"/>
              <w:right w:val="single" w:sz="4" w:space="0" w:color="auto"/>
            </w:tcBorders>
            <w:shd w:val="clear" w:color="auto" w:fill="auto"/>
            <w:vAlign w:val="center"/>
            <w:hideMark/>
          </w:tcPr>
          <w:p w14:paraId="368CC6A8" w14:textId="77777777" w:rsidR="00217B68" w:rsidRPr="00217B68" w:rsidRDefault="00217B68" w:rsidP="008B5D7F">
            <w:pPr>
              <w:spacing w:after="0" w:line="240" w:lineRule="auto"/>
              <w:ind w:firstLine="0"/>
              <w:jc w:val="center"/>
              <w:rPr>
                <w:rFonts w:ascii="Calibri" w:eastAsia="Times New Roman" w:hAnsi="Calibri" w:cs="Calibri"/>
                <w:color w:val="000000"/>
                <w:lang w:val="es-AR" w:eastAsia="es-AR"/>
              </w:rPr>
            </w:pPr>
            <w:r w:rsidRPr="00217B68">
              <w:rPr>
                <w:rFonts w:ascii="Calibri" w:eastAsia="Times New Roman" w:hAnsi="Calibri" w:cs="Calibri"/>
                <w:color w:val="000000"/>
                <w:lang w:val="es-AR" w:eastAsia="es-AR"/>
              </w:rPr>
              <w:t>Gran mayoría de veces por ABAJO</w:t>
            </w:r>
          </w:p>
        </w:tc>
        <w:tc>
          <w:tcPr>
            <w:tcW w:w="1200" w:type="dxa"/>
            <w:tcBorders>
              <w:top w:val="nil"/>
              <w:left w:val="nil"/>
              <w:bottom w:val="single" w:sz="4" w:space="0" w:color="auto"/>
              <w:right w:val="single" w:sz="4" w:space="0" w:color="auto"/>
            </w:tcBorders>
            <w:shd w:val="clear" w:color="auto" w:fill="auto"/>
            <w:vAlign w:val="center"/>
            <w:hideMark/>
          </w:tcPr>
          <w:p w14:paraId="51ADE030" w14:textId="77777777" w:rsidR="00217B68" w:rsidRPr="00217B68" w:rsidRDefault="00217B68" w:rsidP="008B5D7F">
            <w:pPr>
              <w:spacing w:after="0" w:line="240" w:lineRule="auto"/>
              <w:ind w:firstLine="0"/>
              <w:jc w:val="center"/>
              <w:rPr>
                <w:rFonts w:ascii="Calibri" w:eastAsia="Times New Roman" w:hAnsi="Calibri" w:cs="Calibri"/>
                <w:color w:val="000000"/>
                <w:lang w:val="es-AR" w:eastAsia="es-AR"/>
              </w:rPr>
            </w:pPr>
            <w:r w:rsidRPr="00217B68">
              <w:rPr>
                <w:rFonts w:ascii="Calibri" w:eastAsia="Times New Roman" w:hAnsi="Calibri" w:cs="Calibri"/>
                <w:color w:val="000000"/>
                <w:lang w:val="es-AR" w:eastAsia="es-AR"/>
              </w:rPr>
              <w:t>Mza</w:t>
            </w:r>
            <w:r w:rsidRPr="00217B68">
              <w:rPr>
                <w:rFonts w:ascii="Calibri" w:eastAsia="Times New Roman" w:hAnsi="Calibri" w:cs="Calibri"/>
                <w:color w:val="000000"/>
                <w:lang w:val="es-AR" w:eastAsia="es-AR"/>
              </w:rPr>
              <w:br/>
              <w:t>(9 años por arriba: 2003-2007 y 2011-2014)</w:t>
            </w:r>
          </w:p>
        </w:tc>
        <w:tc>
          <w:tcPr>
            <w:tcW w:w="1200" w:type="dxa"/>
            <w:tcBorders>
              <w:top w:val="nil"/>
              <w:left w:val="nil"/>
              <w:bottom w:val="single" w:sz="4" w:space="0" w:color="auto"/>
              <w:right w:val="single" w:sz="4" w:space="0" w:color="auto"/>
            </w:tcBorders>
            <w:shd w:val="clear" w:color="auto" w:fill="auto"/>
            <w:vAlign w:val="center"/>
            <w:hideMark/>
          </w:tcPr>
          <w:p w14:paraId="167E8461" w14:textId="77777777" w:rsidR="00217B68" w:rsidRPr="00217B68" w:rsidRDefault="00217B68" w:rsidP="008B5D7F">
            <w:pPr>
              <w:spacing w:after="0" w:line="240" w:lineRule="auto"/>
              <w:ind w:firstLine="0"/>
              <w:jc w:val="center"/>
              <w:rPr>
                <w:rFonts w:ascii="Calibri" w:eastAsia="Times New Roman" w:hAnsi="Calibri" w:cs="Calibri"/>
                <w:color w:val="000000"/>
                <w:lang w:val="es-AR" w:eastAsia="es-AR"/>
              </w:rPr>
            </w:pPr>
            <w:r w:rsidRPr="00217B68">
              <w:rPr>
                <w:rFonts w:ascii="Calibri" w:eastAsia="Times New Roman" w:hAnsi="Calibri" w:cs="Calibri"/>
                <w:color w:val="000000"/>
                <w:lang w:val="es-AR" w:eastAsia="es-AR"/>
              </w:rPr>
              <w:t>Mza</w:t>
            </w:r>
            <w:r w:rsidRPr="00217B68">
              <w:rPr>
                <w:rFonts w:ascii="Calibri" w:eastAsia="Times New Roman" w:hAnsi="Calibri" w:cs="Calibri"/>
                <w:color w:val="000000"/>
                <w:lang w:val="es-AR" w:eastAsia="es-AR"/>
              </w:rPr>
              <w:br/>
              <w:t>(1 año por arriba: 2003)</w:t>
            </w:r>
          </w:p>
        </w:tc>
        <w:tc>
          <w:tcPr>
            <w:tcW w:w="1200" w:type="dxa"/>
            <w:tcBorders>
              <w:top w:val="nil"/>
              <w:left w:val="nil"/>
              <w:bottom w:val="single" w:sz="4" w:space="0" w:color="auto"/>
              <w:right w:val="single" w:sz="4" w:space="0" w:color="auto"/>
            </w:tcBorders>
            <w:shd w:val="clear" w:color="auto" w:fill="auto"/>
            <w:vAlign w:val="center"/>
            <w:hideMark/>
          </w:tcPr>
          <w:p w14:paraId="0EA94925" w14:textId="77777777" w:rsidR="00217B68" w:rsidRPr="00217B68" w:rsidRDefault="00217B68" w:rsidP="008B5D7F">
            <w:pPr>
              <w:spacing w:after="0" w:line="240" w:lineRule="auto"/>
              <w:ind w:firstLine="0"/>
              <w:jc w:val="center"/>
              <w:rPr>
                <w:rFonts w:ascii="Calibri" w:eastAsia="Times New Roman" w:hAnsi="Calibri" w:cs="Calibri"/>
                <w:color w:val="000000"/>
                <w:lang w:val="es-AR" w:eastAsia="es-AR"/>
              </w:rPr>
            </w:pPr>
            <w:r w:rsidRPr="00217B68">
              <w:rPr>
                <w:rFonts w:ascii="Calibri" w:eastAsia="Times New Roman" w:hAnsi="Calibri" w:cs="Calibri"/>
                <w:color w:val="000000"/>
                <w:lang w:val="es-AR" w:eastAsia="es-AR"/>
              </w:rPr>
              <w:t>Chubut</w:t>
            </w:r>
            <w:r w:rsidRPr="00217B68">
              <w:rPr>
                <w:rFonts w:ascii="Calibri" w:eastAsia="Times New Roman" w:hAnsi="Calibri" w:cs="Calibri"/>
                <w:color w:val="000000"/>
                <w:lang w:val="es-AR" w:eastAsia="es-AR"/>
              </w:rPr>
              <w:br/>
              <w:t>Catamarca</w:t>
            </w:r>
            <w:r w:rsidRPr="00217B68">
              <w:rPr>
                <w:rFonts w:ascii="Calibri" w:eastAsia="Times New Roman" w:hAnsi="Calibri" w:cs="Calibri"/>
                <w:color w:val="000000"/>
                <w:lang w:val="es-AR" w:eastAsia="es-AR"/>
              </w:rPr>
              <w:br/>
              <w:t>La Pampa</w:t>
            </w:r>
            <w:r w:rsidRPr="00217B68">
              <w:rPr>
                <w:rFonts w:ascii="Calibri" w:eastAsia="Times New Roman" w:hAnsi="Calibri" w:cs="Calibri"/>
                <w:color w:val="000000"/>
                <w:lang w:val="es-AR" w:eastAsia="es-AR"/>
              </w:rPr>
              <w:br/>
              <w:t>Stgo del E.</w:t>
            </w:r>
          </w:p>
        </w:tc>
        <w:tc>
          <w:tcPr>
            <w:tcW w:w="1200" w:type="dxa"/>
            <w:tcBorders>
              <w:top w:val="nil"/>
              <w:left w:val="nil"/>
              <w:bottom w:val="single" w:sz="4" w:space="0" w:color="auto"/>
              <w:right w:val="single" w:sz="4" w:space="0" w:color="auto"/>
            </w:tcBorders>
            <w:shd w:val="clear" w:color="auto" w:fill="auto"/>
            <w:vAlign w:val="center"/>
            <w:hideMark/>
          </w:tcPr>
          <w:p w14:paraId="0F67C3FF" w14:textId="77777777" w:rsidR="00217B68" w:rsidRPr="00217B68" w:rsidRDefault="00217B68" w:rsidP="008B5D7F">
            <w:pPr>
              <w:spacing w:after="0" w:line="240" w:lineRule="auto"/>
              <w:ind w:firstLine="0"/>
              <w:jc w:val="center"/>
              <w:rPr>
                <w:rFonts w:ascii="Calibri" w:eastAsia="Times New Roman" w:hAnsi="Calibri" w:cs="Calibri"/>
                <w:color w:val="000000"/>
                <w:lang w:val="es-AR" w:eastAsia="es-AR"/>
              </w:rPr>
            </w:pPr>
            <w:r w:rsidRPr="00217B68">
              <w:rPr>
                <w:rFonts w:ascii="Calibri" w:eastAsia="Times New Roman" w:hAnsi="Calibri" w:cs="Calibri"/>
                <w:color w:val="000000"/>
                <w:lang w:val="es-AR" w:eastAsia="es-AR"/>
              </w:rPr>
              <w:t>Catamarca</w:t>
            </w:r>
            <w:r w:rsidRPr="00217B68">
              <w:rPr>
                <w:rFonts w:ascii="Calibri" w:eastAsia="Times New Roman" w:hAnsi="Calibri" w:cs="Calibri"/>
                <w:color w:val="000000"/>
                <w:lang w:val="es-AR" w:eastAsia="es-AR"/>
              </w:rPr>
              <w:br/>
              <w:t>Chubut</w:t>
            </w:r>
            <w:r w:rsidRPr="00217B68">
              <w:rPr>
                <w:rFonts w:ascii="Calibri" w:eastAsia="Times New Roman" w:hAnsi="Calibri" w:cs="Calibri"/>
                <w:color w:val="000000"/>
                <w:lang w:val="es-AR" w:eastAsia="es-AR"/>
              </w:rPr>
              <w:br/>
              <w:t>La Pampa</w:t>
            </w:r>
            <w:r w:rsidRPr="00217B68">
              <w:rPr>
                <w:rFonts w:ascii="Calibri" w:eastAsia="Times New Roman" w:hAnsi="Calibri" w:cs="Calibri"/>
                <w:color w:val="000000"/>
                <w:lang w:val="es-AR" w:eastAsia="es-AR"/>
              </w:rPr>
              <w:br/>
              <w:t>Stgo del E.</w:t>
            </w:r>
            <w:r w:rsidRPr="00217B68">
              <w:rPr>
                <w:rFonts w:ascii="Calibri" w:eastAsia="Times New Roman" w:hAnsi="Calibri" w:cs="Calibri"/>
                <w:color w:val="000000"/>
                <w:lang w:val="es-AR" w:eastAsia="es-AR"/>
              </w:rPr>
              <w:br/>
            </w:r>
            <w:r w:rsidRPr="00217B68">
              <w:rPr>
                <w:rFonts w:ascii="Calibri" w:eastAsia="Times New Roman" w:hAnsi="Calibri" w:cs="Calibri"/>
                <w:color w:val="000000"/>
                <w:u w:val="single"/>
                <w:lang w:val="es-AR" w:eastAsia="es-AR"/>
              </w:rPr>
              <w:t>Sta Cruz</w:t>
            </w:r>
          </w:p>
        </w:tc>
      </w:tr>
    </w:tbl>
    <w:p w14:paraId="401464DF" w14:textId="77777777" w:rsidR="007A0D8F" w:rsidRPr="007163AB" w:rsidRDefault="007A0D8F" w:rsidP="008B5D7F">
      <w:pPr>
        <w:spacing w:line="240" w:lineRule="auto"/>
        <w:jc w:val="center"/>
        <w:rPr>
          <w:rFonts w:cstheme="minorHAnsi"/>
          <w:sz w:val="16"/>
          <w:szCs w:val="16"/>
          <w:lang w:val="es-AR"/>
        </w:rPr>
      </w:pPr>
      <w:r w:rsidRPr="007163AB">
        <w:rPr>
          <w:rFonts w:cstheme="minorHAnsi"/>
          <w:sz w:val="16"/>
          <w:szCs w:val="16"/>
          <w:lang w:val="es-AR"/>
        </w:rPr>
        <w:t>Fuente: Elaboración propia.</w:t>
      </w:r>
    </w:p>
    <w:p w14:paraId="41C8AF5C" w14:textId="77777777" w:rsidR="00875F82" w:rsidRPr="00F90347" w:rsidRDefault="00875F82" w:rsidP="008B5D7F">
      <w:pPr>
        <w:spacing w:line="240" w:lineRule="auto"/>
        <w:rPr>
          <w:lang w:val="es-AR"/>
        </w:rPr>
      </w:pPr>
      <w:r w:rsidRPr="00F90347">
        <w:rPr>
          <w:lang w:val="es-AR"/>
        </w:rPr>
        <w:t>Por el lado de la capacidad fiscal las mejores performances las presentaron Catamarca, Santa Cruz y Neuquén, mientras que las peores Tucumán y La Rioja según ambos ratios y CABA según el PBG y San Juan según CF1.</w:t>
      </w:r>
    </w:p>
    <w:p w14:paraId="4AFC2E3E" w14:textId="77777777" w:rsidR="00875F82" w:rsidRDefault="00875F82" w:rsidP="008B5D7F">
      <w:pPr>
        <w:spacing w:line="240" w:lineRule="auto"/>
        <w:rPr>
          <w:lang w:val="es-AR"/>
        </w:rPr>
      </w:pPr>
      <w:r w:rsidRPr="00F90347">
        <w:rPr>
          <w:lang w:val="es-AR"/>
        </w:rPr>
        <w:t>Respecto a la cantidad de años que se encuentran las provincias sobre el promedio de capacidad fiscal, según el PBG CABA, Buenos Aires, Santa Fe y Córdoba son aquellas que han tenido CF superior al promedio la mayor cantidad de años, mientras que según CF1 han sido CABA, Chubut, La Pampa, Neuquén, Santa Cruz y Tierra del Fuego. En el periodo analizado, más provincias se encuentran por debajo de la capacidad fiscal promedio que por arriba, y según CF1 el crecimiento promedio de la capacidad fiscal de 1993 a 2014 ha sido casi nulo (levemente negativo).</w:t>
      </w:r>
    </w:p>
    <w:p w14:paraId="02FC8EB2" w14:textId="77777777" w:rsidR="00AA2DE2" w:rsidRPr="00F90347" w:rsidRDefault="00AA2DE2" w:rsidP="008B5D7F">
      <w:pPr>
        <w:spacing w:line="240" w:lineRule="auto"/>
        <w:rPr>
          <w:lang w:val="es-AR"/>
        </w:rPr>
      </w:pPr>
    </w:p>
    <w:p w14:paraId="74120197" w14:textId="495D77F1" w:rsidR="00DF2EC5" w:rsidRPr="00E95008" w:rsidRDefault="00DF2EC5" w:rsidP="008B5D7F">
      <w:pPr>
        <w:pStyle w:val="Prrafodelista"/>
        <w:numPr>
          <w:ilvl w:val="0"/>
          <w:numId w:val="4"/>
        </w:numPr>
        <w:spacing w:line="240" w:lineRule="auto"/>
        <w:rPr>
          <w:b/>
          <w:lang w:val="es-MX"/>
        </w:rPr>
      </w:pPr>
      <w:r w:rsidRPr="00E95008">
        <w:rPr>
          <w:b/>
          <w:lang w:val="es-MX"/>
        </w:rPr>
        <w:lastRenderedPageBreak/>
        <w:t>Resultados de tasa de crecimiento 1993-2014 de los indicadores de EF y CF.</w:t>
      </w:r>
    </w:p>
    <w:tbl>
      <w:tblPr>
        <w:tblW w:w="5000" w:type="pct"/>
        <w:tblCellMar>
          <w:left w:w="70" w:type="dxa"/>
          <w:right w:w="70" w:type="dxa"/>
        </w:tblCellMar>
        <w:tblLook w:val="04A0" w:firstRow="1" w:lastRow="0" w:firstColumn="1" w:lastColumn="0" w:noHBand="0" w:noVBand="1"/>
      </w:tblPr>
      <w:tblGrid>
        <w:gridCol w:w="1089"/>
        <w:gridCol w:w="1669"/>
        <w:gridCol w:w="941"/>
        <w:gridCol w:w="1637"/>
        <w:gridCol w:w="1765"/>
        <w:gridCol w:w="1732"/>
      </w:tblGrid>
      <w:tr w:rsidR="00C22F72" w:rsidRPr="00C22F72" w14:paraId="30C39403" w14:textId="77777777" w:rsidTr="00C22F72">
        <w:trPr>
          <w:trHeight w:val="300"/>
        </w:trPr>
        <w:tc>
          <w:tcPr>
            <w:tcW w:w="591" w:type="pct"/>
            <w:tcBorders>
              <w:top w:val="nil"/>
              <w:left w:val="nil"/>
              <w:bottom w:val="nil"/>
              <w:right w:val="nil"/>
            </w:tcBorders>
            <w:shd w:val="clear" w:color="000000" w:fill="FFFFFF"/>
            <w:noWrap/>
            <w:vAlign w:val="bottom"/>
            <w:hideMark/>
          </w:tcPr>
          <w:p w14:paraId="116EAE2E" w14:textId="77777777" w:rsidR="00C22F72" w:rsidRPr="00C22F72" w:rsidRDefault="00C22F72" w:rsidP="008B5D7F">
            <w:pPr>
              <w:spacing w:after="0" w:line="240" w:lineRule="auto"/>
              <w:ind w:firstLine="0"/>
              <w:jc w:val="left"/>
              <w:rPr>
                <w:rFonts w:ascii="Calibri" w:eastAsia="Times New Roman" w:hAnsi="Calibri" w:cs="Calibri"/>
                <w:color w:val="000000"/>
                <w:sz w:val="18"/>
                <w:szCs w:val="18"/>
                <w:lang w:val="es-AR" w:eastAsia="es-AR"/>
              </w:rPr>
            </w:pPr>
            <w:r w:rsidRPr="00C22F72">
              <w:rPr>
                <w:rFonts w:ascii="Calibri" w:eastAsia="Times New Roman" w:hAnsi="Calibri" w:cs="Calibri"/>
                <w:color w:val="000000"/>
                <w:sz w:val="18"/>
                <w:szCs w:val="18"/>
                <w:lang w:val="es-AR" w:eastAsia="es-AR"/>
              </w:rPr>
              <w:t> </w:t>
            </w:r>
          </w:p>
        </w:tc>
        <w:tc>
          <w:tcPr>
            <w:tcW w:w="9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CDCF2" w14:textId="77777777" w:rsidR="00C22F72" w:rsidRPr="00C22F72" w:rsidRDefault="00C22F72" w:rsidP="008B5D7F">
            <w:pPr>
              <w:spacing w:after="0" w:line="240" w:lineRule="auto"/>
              <w:ind w:firstLine="0"/>
              <w:jc w:val="center"/>
              <w:rPr>
                <w:rFonts w:ascii="Calibri" w:eastAsia="Times New Roman" w:hAnsi="Calibri" w:cs="Calibri"/>
                <w:color w:val="000000"/>
                <w:sz w:val="18"/>
                <w:szCs w:val="18"/>
                <w:lang w:val="es-AR" w:eastAsia="es-AR"/>
              </w:rPr>
            </w:pPr>
            <w:r w:rsidRPr="00C22F72">
              <w:rPr>
                <w:rFonts w:ascii="Calibri" w:eastAsia="Times New Roman" w:hAnsi="Calibri" w:cs="Calibri"/>
                <w:color w:val="000000"/>
                <w:sz w:val="18"/>
                <w:szCs w:val="18"/>
                <w:lang w:val="es-AR" w:eastAsia="es-AR"/>
              </w:rPr>
              <w:t>PBG</w:t>
            </w:r>
          </w:p>
        </w:tc>
        <w:tc>
          <w:tcPr>
            <w:tcW w:w="538" w:type="pct"/>
            <w:tcBorders>
              <w:top w:val="nil"/>
              <w:left w:val="nil"/>
              <w:bottom w:val="nil"/>
              <w:right w:val="nil"/>
            </w:tcBorders>
            <w:shd w:val="clear" w:color="000000" w:fill="FFFFFF"/>
            <w:noWrap/>
            <w:vAlign w:val="center"/>
            <w:hideMark/>
          </w:tcPr>
          <w:p w14:paraId="14551FA3" w14:textId="77777777" w:rsidR="00C22F72" w:rsidRPr="00C22F72" w:rsidRDefault="00C22F72" w:rsidP="008B5D7F">
            <w:pPr>
              <w:spacing w:after="0" w:line="240" w:lineRule="auto"/>
              <w:ind w:firstLine="0"/>
              <w:jc w:val="center"/>
              <w:rPr>
                <w:rFonts w:ascii="Calibri" w:eastAsia="Times New Roman" w:hAnsi="Calibri" w:cs="Calibri"/>
                <w:color w:val="000000"/>
                <w:sz w:val="18"/>
                <w:szCs w:val="18"/>
                <w:lang w:val="es-AR" w:eastAsia="es-AR"/>
              </w:rPr>
            </w:pPr>
            <w:r w:rsidRPr="00C22F72">
              <w:rPr>
                <w:rFonts w:ascii="Calibri" w:eastAsia="Times New Roman" w:hAnsi="Calibri" w:cs="Calibri"/>
                <w:color w:val="000000"/>
                <w:sz w:val="18"/>
                <w:szCs w:val="18"/>
                <w:lang w:val="es-AR" w:eastAsia="es-AR"/>
              </w:rPr>
              <w:t> </w:t>
            </w:r>
          </w:p>
        </w:tc>
        <w:tc>
          <w:tcPr>
            <w:tcW w:w="9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B5D06" w14:textId="77777777" w:rsidR="00C22F72" w:rsidRPr="00C22F72" w:rsidRDefault="00C22F72" w:rsidP="008B5D7F">
            <w:pPr>
              <w:spacing w:after="0" w:line="240" w:lineRule="auto"/>
              <w:ind w:firstLine="0"/>
              <w:jc w:val="center"/>
              <w:rPr>
                <w:rFonts w:ascii="Calibri" w:eastAsia="Times New Roman" w:hAnsi="Calibri" w:cs="Calibri"/>
                <w:color w:val="000000"/>
                <w:sz w:val="18"/>
                <w:szCs w:val="18"/>
                <w:lang w:val="es-AR" w:eastAsia="es-AR"/>
              </w:rPr>
            </w:pPr>
            <w:r w:rsidRPr="00C22F72">
              <w:rPr>
                <w:rFonts w:ascii="Calibri" w:eastAsia="Times New Roman" w:hAnsi="Calibri" w:cs="Calibri"/>
                <w:color w:val="000000"/>
                <w:sz w:val="18"/>
                <w:szCs w:val="18"/>
                <w:lang w:val="es-AR" w:eastAsia="es-AR"/>
              </w:rPr>
              <w:t>CF1</w:t>
            </w:r>
          </w:p>
        </w:tc>
        <w:tc>
          <w:tcPr>
            <w:tcW w:w="1004" w:type="pct"/>
            <w:tcBorders>
              <w:top w:val="single" w:sz="4" w:space="0" w:color="auto"/>
              <w:left w:val="nil"/>
              <w:bottom w:val="single" w:sz="4" w:space="0" w:color="auto"/>
              <w:right w:val="single" w:sz="4" w:space="0" w:color="auto"/>
            </w:tcBorders>
            <w:shd w:val="clear" w:color="auto" w:fill="auto"/>
            <w:noWrap/>
            <w:vAlign w:val="center"/>
            <w:hideMark/>
          </w:tcPr>
          <w:p w14:paraId="691C7A7B" w14:textId="77777777" w:rsidR="00C22F72" w:rsidRPr="00C22F72" w:rsidRDefault="00C22F72" w:rsidP="008B5D7F">
            <w:pPr>
              <w:spacing w:after="0" w:line="240" w:lineRule="auto"/>
              <w:ind w:firstLine="0"/>
              <w:jc w:val="center"/>
              <w:rPr>
                <w:rFonts w:ascii="Calibri" w:eastAsia="Times New Roman" w:hAnsi="Calibri" w:cs="Calibri"/>
                <w:color w:val="000000"/>
                <w:sz w:val="18"/>
                <w:szCs w:val="18"/>
                <w:lang w:val="es-AR" w:eastAsia="es-AR"/>
              </w:rPr>
            </w:pPr>
            <w:r w:rsidRPr="00C22F72">
              <w:rPr>
                <w:rFonts w:ascii="Calibri" w:eastAsia="Times New Roman" w:hAnsi="Calibri" w:cs="Calibri"/>
                <w:color w:val="000000"/>
                <w:sz w:val="18"/>
                <w:szCs w:val="18"/>
                <w:lang w:val="es-AR" w:eastAsia="es-AR"/>
              </w:rPr>
              <w:t>EF1</w:t>
            </w:r>
          </w:p>
        </w:tc>
        <w:tc>
          <w:tcPr>
            <w:tcW w:w="986" w:type="pct"/>
            <w:tcBorders>
              <w:top w:val="single" w:sz="4" w:space="0" w:color="auto"/>
              <w:left w:val="nil"/>
              <w:bottom w:val="single" w:sz="4" w:space="0" w:color="auto"/>
              <w:right w:val="single" w:sz="4" w:space="0" w:color="auto"/>
            </w:tcBorders>
            <w:shd w:val="clear" w:color="auto" w:fill="auto"/>
            <w:noWrap/>
            <w:vAlign w:val="center"/>
            <w:hideMark/>
          </w:tcPr>
          <w:p w14:paraId="0493AF95" w14:textId="77777777" w:rsidR="00C22F72" w:rsidRPr="00C22F72" w:rsidRDefault="00C22F72" w:rsidP="008B5D7F">
            <w:pPr>
              <w:spacing w:after="0" w:line="240" w:lineRule="auto"/>
              <w:ind w:firstLine="0"/>
              <w:jc w:val="center"/>
              <w:rPr>
                <w:rFonts w:ascii="Calibri" w:eastAsia="Times New Roman" w:hAnsi="Calibri" w:cs="Calibri"/>
                <w:color w:val="000000"/>
                <w:sz w:val="18"/>
                <w:szCs w:val="18"/>
                <w:lang w:val="es-AR" w:eastAsia="es-AR"/>
              </w:rPr>
            </w:pPr>
            <w:r w:rsidRPr="00C22F72">
              <w:rPr>
                <w:rFonts w:ascii="Calibri" w:eastAsia="Times New Roman" w:hAnsi="Calibri" w:cs="Calibri"/>
                <w:color w:val="000000"/>
                <w:sz w:val="18"/>
                <w:szCs w:val="18"/>
                <w:lang w:val="es-AR" w:eastAsia="es-AR"/>
              </w:rPr>
              <w:t>IREF1</w:t>
            </w:r>
          </w:p>
        </w:tc>
      </w:tr>
      <w:tr w:rsidR="00C22F72" w:rsidRPr="00C22F72" w14:paraId="2906BE1B" w14:textId="77777777" w:rsidTr="00C22F72">
        <w:trPr>
          <w:trHeight w:val="1815"/>
        </w:trPr>
        <w:tc>
          <w:tcPr>
            <w:tcW w:w="5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12095C" w14:textId="77777777" w:rsidR="00C22F72" w:rsidRPr="00C22F72" w:rsidRDefault="00C22F72" w:rsidP="008B5D7F">
            <w:pPr>
              <w:spacing w:after="0" w:line="240" w:lineRule="auto"/>
              <w:ind w:firstLine="0"/>
              <w:jc w:val="center"/>
              <w:rPr>
                <w:rFonts w:ascii="Calibri" w:eastAsia="Times New Roman" w:hAnsi="Calibri" w:cs="Calibri"/>
                <w:color w:val="000000"/>
                <w:sz w:val="18"/>
                <w:szCs w:val="18"/>
                <w:lang w:val="es-AR" w:eastAsia="es-AR"/>
              </w:rPr>
            </w:pPr>
            <w:r w:rsidRPr="00C22F72">
              <w:rPr>
                <w:rFonts w:ascii="Calibri" w:eastAsia="Times New Roman" w:hAnsi="Calibri" w:cs="Calibri"/>
                <w:color w:val="000000"/>
                <w:sz w:val="18"/>
                <w:szCs w:val="18"/>
                <w:lang w:val="es-AR" w:eastAsia="es-AR"/>
              </w:rPr>
              <w:t>Mejor Performance</w:t>
            </w:r>
          </w:p>
        </w:tc>
        <w:tc>
          <w:tcPr>
            <w:tcW w:w="950" w:type="pct"/>
            <w:tcBorders>
              <w:top w:val="nil"/>
              <w:left w:val="nil"/>
              <w:bottom w:val="single" w:sz="4" w:space="0" w:color="auto"/>
              <w:right w:val="single" w:sz="4" w:space="0" w:color="auto"/>
            </w:tcBorders>
            <w:shd w:val="clear" w:color="auto" w:fill="auto"/>
            <w:vAlign w:val="center"/>
            <w:hideMark/>
          </w:tcPr>
          <w:p w14:paraId="00FDF933" w14:textId="77777777" w:rsidR="00C22F72" w:rsidRPr="00C22F72" w:rsidRDefault="00C22F72" w:rsidP="008B5D7F">
            <w:pPr>
              <w:spacing w:after="0" w:line="240" w:lineRule="auto"/>
              <w:ind w:firstLine="0"/>
              <w:jc w:val="center"/>
              <w:rPr>
                <w:rFonts w:ascii="Calibri" w:eastAsia="Times New Roman" w:hAnsi="Calibri" w:cs="Calibri"/>
                <w:color w:val="000000"/>
                <w:sz w:val="18"/>
                <w:szCs w:val="18"/>
                <w:lang w:val="es-AR" w:eastAsia="es-AR"/>
              </w:rPr>
            </w:pPr>
            <w:r w:rsidRPr="00C22F72">
              <w:rPr>
                <w:rFonts w:ascii="Calibri" w:eastAsia="Times New Roman" w:hAnsi="Calibri" w:cs="Calibri"/>
                <w:color w:val="000000"/>
                <w:sz w:val="18"/>
                <w:szCs w:val="18"/>
                <w:lang w:val="es-AR" w:eastAsia="es-AR"/>
              </w:rPr>
              <w:t>Catamarca (391,9%)</w:t>
            </w:r>
            <w:r w:rsidRPr="00C22F72">
              <w:rPr>
                <w:rFonts w:ascii="Calibri" w:eastAsia="Times New Roman" w:hAnsi="Calibri" w:cs="Calibri"/>
                <w:color w:val="000000"/>
                <w:sz w:val="18"/>
                <w:szCs w:val="18"/>
                <w:lang w:val="es-AR" w:eastAsia="es-AR"/>
              </w:rPr>
              <w:br/>
              <w:t>Sta Cruz (228,1%)</w:t>
            </w:r>
            <w:r w:rsidRPr="00C22F72">
              <w:rPr>
                <w:rFonts w:ascii="Calibri" w:eastAsia="Times New Roman" w:hAnsi="Calibri" w:cs="Calibri"/>
                <w:color w:val="000000"/>
                <w:sz w:val="18"/>
                <w:szCs w:val="18"/>
                <w:lang w:val="es-AR" w:eastAsia="es-AR"/>
              </w:rPr>
              <w:br/>
              <w:t>Neuquén (202,9%)</w:t>
            </w:r>
          </w:p>
        </w:tc>
        <w:tc>
          <w:tcPr>
            <w:tcW w:w="538" w:type="pct"/>
            <w:tcBorders>
              <w:top w:val="nil"/>
              <w:left w:val="nil"/>
              <w:bottom w:val="nil"/>
              <w:right w:val="nil"/>
            </w:tcBorders>
            <w:shd w:val="clear" w:color="000000" w:fill="FFFFFF"/>
            <w:vAlign w:val="center"/>
            <w:hideMark/>
          </w:tcPr>
          <w:p w14:paraId="2A4DC6C9" w14:textId="77777777" w:rsidR="00C22F72" w:rsidRPr="00C22F72" w:rsidRDefault="00C22F72" w:rsidP="008B5D7F">
            <w:pPr>
              <w:spacing w:after="0" w:line="240" w:lineRule="auto"/>
              <w:ind w:firstLine="0"/>
              <w:jc w:val="center"/>
              <w:rPr>
                <w:rFonts w:ascii="Calibri" w:eastAsia="Times New Roman" w:hAnsi="Calibri" w:cs="Calibri"/>
                <w:color w:val="000000"/>
                <w:sz w:val="18"/>
                <w:szCs w:val="18"/>
                <w:lang w:val="es-AR" w:eastAsia="es-AR"/>
              </w:rPr>
            </w:pPr>
            <w:r w:rsidRPr="00C22F72">
              <w:rPr>
                <w:rFonts w:ascii="Calibri" w:eastAsia="Times New Roman" w:hAnsi="Calibri" w:cs="Calibri"/>
                <w:color w:val="000000"/>
                <w:sz w:val="18"/>
                <w:szCs w:val="18"/>
                <w:lang w:val="es-AR" w:eastAsia="es-AR"/>
              </w:rPr>
              <w:t> </w:t>
            </w:r>
          </w:p>
        </w:tc>
        <w:tc>
          <w:tcPr>
            <w:tcW w:w="932" w:type="pct"/>
            <w:tcBorders>
              <w:top w:val="nil"/>
              <w:left w:val="single" w:sz="4" w:space="0" w:color="auto"/>
              <w:bottom w:val="single" w:sz="4" w:space="0" w:color="auto"/>
              <w:right w:val="single" w:sz="4" w:space="0" w:color="auto"/>
            </w:tcBorders>
            <w:shd w:val="clear" w:color="auto" w:fill="auto"/>
            <w:vAlign w:val="center"/>
            <w:hideMark/>
          </w:tcPr>
          <w:p w14:paraId="04CFDBC6" w14:textId="77777777" w:rsidR="00C22F72" w:rsidRPr="00C22F72" w:rsidRDefault="00C22F72" w:rsidP="008B5D7F">
            <w:pPr>
              <w:spacing w:after="0" w:line="240" w:lineRule="auto"/>
              <w:ind w:firstLine="0"/>
              <w:jc w:val="center"/>
              <w:rPr>
                <w:rFonts w:ascii="Calibri" w:eastAsia="Times New Roman" w:hAnsi="Calibri" w:cs="Calibri"/>
                <w:color w:val="000000"/>
                <w:sz w:val="18"/>
                <w:szCs w:val="18"/>
                <w:lang w:val="es-AR" w:eastAsia="es-AR"/>
              </w:rPr>
            </w:pPr>
            <w:r w:rsidRPr="00C22F72">
              <w:rPr>
                <w:rFonts w:ascii="Calibri" w:eastAsia="Times New Roman" w:hAnsi="Calibri" w:cs="Calibri"/>
                <w:color w:val="000000"/>
                <w:sz w:val="18"/>
                <w:szCs w:val="18"/>
                <w:lang w:val="es-AR" w:eastAsia="es-AR"/>
              </w:rPr>
              <w:t>Catamarca (115,1%)</w:t>
            </w:r>
            <w:r w:rsidRPr="00C22F72">
              <w:rPr>
                <w:rFonts w:ascii="Calibri" w:eastAsia="Times New Roman" w:hAnsi="Calibri" w:cs="Calibri"/>
                <w:color w:val="000000"/>
                <w:sz w:val="18"/>
                <w:szCs w:val="18"/>
                <w:lang w:val="es-AR" w:eastAsia="es-AR"/>
              </w:rPr>
              <w:br/>
              <w:t>Sta Cruz (34,9%)</w:t>
            </w:r>
            <w:r w:rsidRPr="00C22F72">
              <w:rPr>
                <w:rFonts w:ascii="Calibri" w:eastAsia="Times New Roman" w:hAnsi="Calibri" w:cs="Calibri"/>
                <w:color w:val="000000"/>
                <w:sz w:val="18"/>
                <w:szCs w:val="18"/>
                <w:lang w:val="es-AR" w:eastAsia="es-AR"/>
              </w:rPr>
              <w:br/>
              <w:t>Neuquén (32,2%)</w:t>
            </w:r>
          </w:p>
        </w:tc>
        <w:tc>
          <w:tcPr>
            <w:tcW w:w="1004" w:type="pct"/>
            <w:tcBorders>
              <w:top w:val="nil"/>
              <w:left w:val="nil"/>
              <w:bottom w:val="single" w:sz="4" w:space="0" w:color="auto"/>
              <w:right w:val="single" w:sz="4" w:space="0" w:color="auto"/>
            </w:tcBorders>
            <w:shd w:val="clear" w:color="auto" w:fill="auto"/>
            <w:vAlign w:val="center"/>
            <w:hideMark/>
          </w:tcPr>
          <w:p w14:paraId="352EF63D" w14:textId="77777777" w:rsidR="00C22F72" w:rsidRPr="00C22F72" w:rsidRDefault="00C22F72" w:rsidP="008B5D7F">
            <w:pPr>
              <w:spacing w:after="0" w:line="240" w:lineRule="auto"/>
              <w:ind w:firstLine="0"/>
              <w:jc w:val="center"/>
              <w:rPr>
                <w:rFonts w:ascii="Calibri" w:eastAsia="Times New Roman" w:hAnsi="Calibri" w:cs="Calibri"/>
                <w:color w:val="000000"/>
                <w:sz w:val="18"/>
                <w:szCs w:val="18"/>
                <w:lang w:val="es-AR" w:eastAsia="es-AR"/>
              </w:rPr>
            </w:pPr>
            <w:r w:rsidRPr="00C22F72">
              <w:rPr>
                <w:rFonts w:ascii="Calibri" w:eastAsia="Times New Roman" w:hAnsi="Calibri" w:cs="Calibri"/>
                <w:color w:val="000000"/>
                <w:sz w:val="18"/>
                <w:szCs w:val="18"/>
                <w:lang w:val="es-AR" w:eastAsia="es-AR"/>
              </w:rPr>
              <w:t>Misiones (97,3%)</w:t>
            </w:r>
            <w:r w:rsidRPr="00C22F72">
              <w:rPr>
                <w:rFonts w:ascii="Calibri" w:eastAsia="Times New Roman" w:hAnsi="Calibri" w:cs="Calibri"/>
                <w:color w:val="000000"/>
                <w:sz w:val="18"/>
                <w:szCs w:val="18"/>
                <w:lang w:val="es-AR" w:eastAsia="es-AR"/>
              </w:rPr>
              <w:br/>
              <w:t>Tucumán (70,4%)</w:t>
            </w:r>
            <w:r w:rsidRPr="00C22F72">
              <w:rPr>
                <w:rFonts w:ascii="Calibri" w:eastAsia="Times New Roman" w:hAnsi="Calibri" w:cs="Calibri"/>
                <w:color w:val="000000"/>
                <w:sz w:val="18"/>
                <w:szCs w:val="18"/>
                <w:lang w:val="es-AR" w:eastAsia="es-AR"/>
              </w:rPr>
              <w:br/>
              <w:t>Chubut (45,6%)</w:t>
            </w:r>
          </w:p>
        </w:tc>
        <w:tc>
          <w:tcPr>
            <w:tcW w:w="986" w:type="pct"/>
            <w:tcBorders>
              <w:top w:val="nil"/>
              <w:left w:val="nil"/>
              <w:bottom w:val="single" w:sz="4" w:space="0" w:color="auto"/>
              <w:right w:val="single" w:sz="4" w:space="0" w:color="auto"/>
            </w:tcBorders>
            <w:shd w:val="clear" w:color="auto" w:fill="auto"/>
            <w:vAlign w:val="center"/>
            <w:hideMark/>
          </w:tcPr>
          <w:p w14:paraId="65A93FF0" w14:textId="77777777" w:rsidR="00C22F72" w:rsidRPr="00C22F72" w:rsidRDefault="00C22F72" w:rsidP="008B5D7F">
            <w:pPr>
              <w:spacing w:after="0" w:line="240" w:lineRule="auto"/>
              <w:ind w:firstLine="0"/>
              <w:jc w:val="center"/>
              <w:rPr>
                <w:rFonts w:ascii="Calibri" w:eastAsia="Times New Roman" w:hAnsi="Calibri" w:cs="Calibri"/>
                <w:color w:val="000000"/>
                <w:sz w:val="18"/>
                <w:szCs w:val="18"/>
                <w:lang w:val="es-AR" w:eastAsia="es-AR"/>
              </w:rPr>
            </w:pPr>
            <w:r w:rsidRPr="00C22F72">
              <w:rPr>
                <w:rFonts w:ascii="Calibri" w:eastAsia="Times New Roman" w:hAnsi="Calibri" w:cs="Calibri"/>
                <w:color w:val="000000"/>
                <w:sz w:val="18"/>
                <w:szCs w:val="18"/>
                <w:lang w:val="es-AR" w:eastAsia="es-AR"/>
              </w:rPr>
              <w:t>Misiones (110,56%)</w:t>
            </w:r>
            <w:r w:rsidRPr="00C22F72">
              <w:rPr>
                <w:rFonts w:ascii="Calibri" w:eastAsia="Times New Roman" w:hAnsi="Calibri" w:cs="Calibri"/>
                <w:color w:val="000000"/>
                <w:sz w:val="18"/>
                <w:szCs w:val="18"/>
                <w:lang w:val="es-AR" w:eastAsia="es-AR"/>
              </w:rPr>
              <w:br/>
              <w:t>Tucumán (81,78%)</w:t>
            </w:r>
            <w:r w:rsidRPr="00C22F72">
              <w:rPr>
                <w:rFonts w:ascii="Calibri" w:eastAsia="Times New Roman" w:hAnsi="Calibri" w:cs="Calibri"/>
                <w:color w:val="000000"/>
                <w:sz w:val="18"/>
                <w:szCs w:val="18"/>
                <w:lang w:val="es-AR" w:eastAsia="es-AR"/>
              </w:rPr>
              <w:br/>
              <w:t>Chubut (55,36%)</w:t>
            </w:r>
          </w:p>
        </w:tc>
      </w:tr>
      <w:tr w:rsidR="00C22F72" w:rsidRPr="00EE621F" w14:paraId="5241434F" w14:textId="77777777" w:rsidTr="00C22F72">
        <w:trPr>
          <w:trHeight w:val="1680"/>
        </w:trPr>
        <w:tc>
          <w:tcPr>
            <w:tcW w:w="591" w:type="pct"/>
            <w:tcBorders>
              <w:top w:val="nil"/>
              <w:left w:val="single" w:sz="4" w:space="0" w:color="auto"/>
              <w:bottom w:val="single" w:sz="4" w:space="0" w:color="auto"/>
              <w:right w:val="single" w:sz="4" w:space="0" w:color="auto"/>
            </w:tcBorders>
            <w:shd w:val="clear" w:color="auto" w:fill="auto"/>
            <w:vAlign w:val="center"/>
            <w:hideMark/>
          </w:tcPr>
          <w:p w14:paraId="02B7E0C9" w14:textId="77777777" w:rsidR="00C22F72" w:rsidRPr="00C22F72" w:rsidRDefault="00C22F72" w:rsidP="008B5D7F">
            <w:pPr>
              <w:spacing w:after="0" w:line="240" w:lineRule="auto"/>
              <w:ind w:firstLine="0"/>
              <w:jc w:val="center"/>
              <w:rPr>
                <w:rFonts w:ascii="Calibri" w:eastAsia="Times New Roman" w:hAnsi="Calibri" w:cs="Calibri"/>
                <w:color w:val="000000"/>
                <w:sz w:val="18"/>
                <w:szCs w:val="18"/>
                <w:lang w:val="es-AR" w:eastAsia="es-AR"/>
              </w:rPr>
            </w:pPr>
            <w:r w:rsidRPr="00C22F72">
              <w:rPr>
                <w:rFonts w:ascii="Calibri" w:eastAsia="Times New Roman" w:hAnsi="Calibri" w:cs="Calibri"/>
                <w:color w:val="000000"/>
                <w:sz w:val="18"/>
                <w:szCs w:val="18"/>
                <w:lang w:val="es-AR" w:eastAsia="es-AR"/>
              </w:rPr>
              <w:t>Peor Performance</w:t>
            </w:r>
          </w:p>
        </w:tc>
        <w:tc>
          <w:tcPr>
            <w:tcW w:w="950" w:type="pct"/>
            <w:tcBorders>
              <w:top w:val="nil"/>
              <w:left w:val="nil"/>
              <w:bottom w:val="single" w:sz="4" w:space="0" w:color="auto"/>
              <w:right w:val="single" w:sz="4" w:space="0" w:color="auto"/>
            </w:tcBorders>
            <w:shd w:val="clear" w:color="auto" w:fill="auto"/>
            <w:vAlign w:val="center"/>
            <w:hideMark/>
          </w:tcPr>
          <w:p w14:paraId="633743BA" w14:textId="77777777" w:rsidR="00C22F72" w:rsidRPr="00C22F72" w:rsidRDefault="00C22F72" w:rsidP="008B5D7F">
            <w:pPr>
              <w:spacing w:after="0" w:line="240" w:lineRule="auto"/>
              <w:ind w:firstLine="0"/>
              <w:jc w:val="center"/>
              <w:rPr>
                <w:rFonts w:ascii="Calibri" w:eastAsia="Times New Roman" w:hAnsi="Calibri" w:cs="Calibri"/>
                <w:color w:val="000000"/>
                <w:sz w:val="18"/>
                <w:szCs w:val="18"/>
                <w:lang w:val="es-AR" w:eastAsia="es-AR"/>
              </w:rPr>
            </w:pPr>
            <w:r w:rsidRPr="00C22F72">
              <w:rPr>
                <w:rFonts w:ascii="Calibri" w:eastAsia="Times New Roman" w:hAnsi="Calibri" w:cs="Calibri"/>
                <w:color w:val="000000"/>
                <w:sz w:val="18"/>
                <w:szCs w:val="18"/>
                <w:lang w:val="es-AR" w:eastAsia="es-AR"/>
              </w:rPr>
              <w:t>CABA (52%)</w:t>
            </w:r>
            <w:r w:rsidRPr="00C22F72">
              <w:rPr>
                <w:rFonts w:ascii="Calibri" w:eastAsia="Times New Roman" w:hAnsi="Calibri" w:cs="Calibri"/>
                <w:color w:val="000000"/>
                <w:sz w:val="18"/>
                <w:szCs w:val="18"/>
                <w:lang w:val="es-AR" w:eastAsia="es-AR"/>
              </w:rPr>
              <w:br/>
              <w:t>Tucumán (52,7%)</w:t>
            </w:r>
            <w:r w:rsidRPr="00C22F72">
              <w:rPr>
                <w:rFonts w:ascii="Calibri" w:eastAsia="Times New Roman" w:hAnsi="Calibri" w:cs="Calibri"/>
                <w:color w:val="000000"/>
                <w:sz w:val="18"/>
                <w:szCs w:val="18"/>
                <w:lang w:val="es-AR" w:eastAsia="es-AR"/>
              </w:rPr>
              <w:br/>
              <w:t>La Rioja (55%)</w:t>
            </w:r>
          </w:p>
        </w:tc>
        <w:tc>
          <w:tcPr>
            <w:tcW w:w="538" w:type="pct"/>
            <w:tcBorders>
              <w:top w:val="nil"/>
              <w:left w:val="nil"/>
              <w:bottom w:val="nil"/>
              <w:right w:val="nil"/>
            </w:tcBorders>
            <w:shd w:val="clear" w:color="000000" w:fill="FFFFFF"/>
            <w:vAlign w:val="center"/>
            <w:hideMark/>
          </w:tcPr>
          <w:p w14:paraId="5A2E2611" w14:textId="77777777" w:rsidR="00C22F72" w:rsidRPr="00C22F72" w:rsidRDefault="00C22F72" w:rsidP="008B5D7F">
            <w:pPr>
              <w:spacing w:after="0" w:line="240" w:lineRule="auto"/>
              <w:ind w:firstLine="0"/>
              <w:jc w:val="center"/>
              <w:rPr>
                <w:rFonts w:ascii="Calibri" w:eastAsia="Times New Roman" w:hAnsi="Calibri" w:cs="Calibri"/>
                <w:color w:val="000000"/>
                <w:sz w:val="18"/>
                <w:szCs w:val="18"/>
                <w:lang w:val="es-AR" w:eastAsia="es-AR"/>
              </w:rPr>
            </w:pPr>
            <w:r w:rsidRPr="00C22F72">
              <w:rPr>
                <w:rFonts w:ascii="Calibri" w:eastAsia="Times New Roman" w:hAnsi="Calibri" w:cs="Calibri"/>
                <w:color w:val="000000"/>
                <w:sz w:val="18"/>
                <w:szCs w:val="18"/>
                <w:lang w:val="es-AR" w:eastAsia="es-AR"/>
              </w:rPr>
              <w:t> </w:t>
            </w:r>
          </w:p>
        </w:tc>
        <w:tc>
          <w:tcPr>
            <w:tcW w:w="932" w:type="pct"/>
            <w:tcBorders>
              <w:top w:val="nil"/>
              <w:left w:val="single" w:sz="4" w:space="0" w:color="auto"/>
              <w:bottom w:val="single" w:sz="4" w:space="0" w:color="auto"/>
              <w:right w:val="single" w:sz="4" w:space="0" w:color="auto"/>
            </w:tcBorders>
            <w:shd w:val="clear" w:color="auto" w:fill="auto"/>
            <w:vAlign w:val="center"/>
            <w:hideMark/>
          </w:tcPr>
          <w:p w14:paraId="37772F72" w14:textId="77777777" w:rsidR="00C22F72" w:rsidRPr="00C22F72" w:rsidRDefault="00C22F72" w:rsidP="008B5D7F">
            <w:pPr>
              <w:spacing w:after="0" w:line="240" w:lineRule="auto"/>
              <w:ind w:firstLine="0"/>
              <w:jc w:val="center"/>
              <w:rPr>
                <w:rFonts w:ascii="Calibri" w:eastAsia="Times New Roman" w:hAnsi="Calibri" w:cs="Calibri"/>
                <w:color w:val="000000"/>
                <w:sz w:val="18"/>
                <w:szCs w:val="18"/>
                <w:lang w:val="es-AR" w:eastAsia="es-AR"/>
              </w:rPr>
            </w:pPr>
            <w:r w:rsidRPr="00C22F72">
              <w:rPr>
                <w:rFonts w:ascii="Calibri" w:eastAsia="Times New Roman" w:hAnsi="Calibri" w:cs="Calibri"/>
                <w:color w:val="000000"/>
                <w:sz w:val="18"/>
                <w:szCs w:val="18"/>
                <w:lang w:val="es-AR" w:eastAsia="es-AR"/>
              </w:rPr>
              <w:t>La Rioja (-36,5%)</w:t>
            </w:r>
            <w:r w:rsidRPr="00C22F72">
              <w:rPr>
                <w:rFonts w:ascii="Calibri" w:eastAsia="Times New Roman" w:hAnsi="Calibri" w:cs="Calibri"/>
                <w:color w:val="000000"/>
                <w:sz w:val="18"/>
                <w:szCs w:val="18"/>
                <w:lang w:val="es-AR" w:eastAsia="es-AR"/>
              </w:rPr>
              <w:br/>
              <w:t>Tucumán (-25,9%)</w:t>
            </w:r>
            <w:r w:rsidRPr="00C22F72">
              <w:rPr>
                <w:rFonts w:ascii="Calibri" w:eastAsia="Times New Roman" w:hAnsi="Calibri" w:cs="Calibri"/>
                <w:color w:val="000000"/>
                <w:sz w:val="18"/>
                <w:szCs w:val="18"/>
                <w:lang w:val="es-AR" w:eastAsia="es-AR"/>
              </w:rPr>
              <w:br/>
              <w:t>San Juan (-23,4%)</w:t>
            </w:r>
          </w:p>
        </w:tc>
        <w:tc>
          <w:tcPr>
            <w:tcW w:w="1004" w:type="pct"/>
            <w:tcBorders>
              <w:top w:val="nil"/>
              <w:left w:val="nil"/>
              <w:bottom w:val="single" w:sz="4" w:space="0" w:color="auto"/>
              <w:right w:val="single" w:sz="4" w:space="0" w:color="auto"/>
            </w:tcBorders>
            <w:shd w:val="clear" w:color="auto" w:fill="auto"/>
            <w:vAlign w:val="center"/>
            <w:hideMark/>
          </w:tcPr>
          <w:p w14:paraId="7263F703" w14:textId="77777777" w:rsidR="00C22F72" w:rsidRPr="00C22F72" w:rsidRDefault="00C22F72" w:rsidP="008B5D7F">
            <w:pPr>
              <w:spacing w:after="0" w:line="240" w:lineRule="auto"/>
              <w:ind w:firstLine="0"/>
              <w:jc w:val="center"/>
              <w:rPr>
                <w:rFonts w:ascii="Calibri" w:eastAsia="Times New Roman" w:hAnsi="Calibri" w:cs="Calibri"/>
                <w:color w:val="000000"/>
                <w:sz w:val="18"/>
                <w:szCs w:val="18"/>
                <w:lang w:val="es-AR" w:eastAsia="es-AR"/>
              </w:rPr>
            </w:pPr>
            <w:r w:rsidRPr="00C22F72">
              <w:rPr>
                <w:rFonts w:ascii="Calibri" w:eastAsia="Times New Roman" w:hAnsi="Calibri" w:cs="Calibri"/>
                <w:color w:val="000000"/>
                <w:sz w:val="18"/>
                <w:szCs w:val="18"/>
                <w:lang w:val="es-AR" w:eastAsia="es-AR"/>
              </w:rPr>
              <w:t>Catamarca (-43,3%)</w:t>
            </w:r>
            <w:r w:rsidRPr="00C22F72">
              <w:rPr>
                <w:rFonts w:ascii="Calibri" w:eastAsia="Times New Roman" w:hAnsi="Calibri" w:cs="Calibri"/>
                <w:color w:val="000000"/>
                <w:sz w:val="18"/>
                <w:szCs w:val="18"/>
                <w:lang w:val="es-AR" w:eastAsia="es-AR"/>
              </w:rPr>
              <w:br/>
              <w:t>Tierra d.F. (-29,8%)</w:t>
            </w:r>
            <w:r w:rsidRPr="00C22F72">
              <w:rPr>
                <w:rFonts w:ascii="Calibri" w:eastAsia="Times New Roman" w:hAnsi="Calibri" w:cs="Calibri"/>
                <w:color w:val="000000"/>
                <w:sz w:val="18"/>
                <w:szCs w:val="18"/>
                <w:lang w:val="es-AR" w:eastAsia="es-AR"/>
              </w:rPr>
              <w:br/>
              <w:t>La Pampa (-28,7%)</w:t>
            </w:r>
          </w:p>
        </w:tc>
        <w:tc>
          <w:tcPr>
            <w:tcW w:w="986" w:type="pct"/>
            <w:tcBorders>
              <w:top w:val="nil"/>
              <w:left w:val="nil"/>
              <w:bottom w:val="single" w:sz="4" w:space="0" w:color="auto"/>
              <w:right w:val="single" w:sz="4" w:space="0" w:color="auto"/>
            </w:tcBorders>
            <w:shd w:val="clear" w:color="auto" w:fill="auto"/>
            <w:vAlign w:val="center"/>
            <w:hideMark/>
          </w:tcPr>
          <w:p w14:paraId="00081CB0" w14:textId="77777777" w:rsidR="00C22F72" w:rsidRPr="00C22F72" w:rsidRDefault="00C22F72" w:rsidP="008B5D7F">
            <w:pPr>
              <w:spacing w:after="0" w:line="240" w:lineRule="auto"/>
              <w:ind w:firstLine="0"/>
              <w:jc w:val="center"/>
              <w:rPr>
                <w:rFonts w:ascii="Calibri" w:eastAsia="Times New Roman" w:hAnsi="Calibri" w:cs="Calibri"/>
                <w:color w:val="000000"/>
                <w:sz w:val="18"/>
                <w:szCs w:val="18"/>
                <w:lang w:val="es-AR" w:eastAsia="es-AR"/>
              </w:rPr>
            </w:pPr>
            <w:r w:rsidRPr="00C22F72">
              <w:rPr>
                <w:rFonts w:ascii="Calibri" w:eastAsia="Times New Roman" w:hAnsi="Calibri" w:cs="Calibri"/>
                <w:color w:val="000000"/>
                <w:sz w:val="18"/>
                <w:szCs w:val="18"/>
                <w:lang w:val="es-AR" w:eastAsia="es-AR"/>
              </w:rPr>
              <w:t>Catamarca (-39,53%)</w:t>
            </w:r>
            <w:r w:rsidRPr="00C22F72">
              <w:rPr>
                <w:rFonts w:ascii="Calibri" w:eastAsia="Times New Roman" w:hAnsi="Calibri" w:cs="Calibri"/>
                <w:color w:val="000000"/>
                <w:sz w:val="18"/>
                <w:szCs w:val="18"/>
                <w:lang w:val="es-AR" w:eastAsia="es-AR"/>
              </w:rPr>
              <w:br/>
              <w:t>Tierra d.F. (-25,08%)</w:t>
            </w:r>
            <w:r w:rsidRPr="00C22F72">
              <w:rPr>
                <w:rFonts w:ascii="Calibri" w:eastAsia="Times New Roman" w:hAnsi="Calibri" w:cs="Calibri"/>
                <w:color w:val="000000"/>
                <w:sz w:val="18"/>
                <w:szCs w:val="18"/>
                <w:lang w:val="es-AR" w:eastAsia="es-AR"/>
              </w:rPr>
              <w:br/>
              <w:t>La Pampa (-23,88%)</w:t>
            </w:r>
          </w:p>
        </w:tc>
      </w:tr>
      <w:tr w:rsidR="00C22F72" w:rsidRPr="00C22F72" w14:paraId="22BEC827" w14:textId="77777777" w:rsidTr="00C22F72">
        <w:trPr>
          <w:trHeight w:val="960"/>
        </w:trPr>
        <w:tc>
          <w:tcPr>
            <w:tcW w:w="591" w:type="pct"/>
            <w:tcBorders>
              <w:top w:val="nil"/>
              <w:left w:val="single" w:sz="4" w:space="0" w:color="auto"/>
              <w:bottom w:val="single" w:sz="4" w:space="0" w:color="auto"/>
              <w:right w:val="single" w:sz="4" w:space="0" w:color="auto"/>
            </w:tcBorders>
            <w:shd w:val="clear" w:color="auto" w:fill="auto"/>
            <w:vAlign w:val="center"/>
            <w:hideMark/>
          </w:tcPr>
          <w:p w14:paraId="2CC01075" w14:textId="77777777" w:rsidR="00C22F72" w:rsidRPr="00C22F72" w:rsidRDefault="00C22F72" w:rsidP="008B5D7F">
            <w:pPr>
              <w:spacing w:after="0" w:line="240" w:lineRule="auto"/>
              <w:ind w:firstLine="0"/>
              <w:jc w:val="center"/>
              <w:rPr>
                <w:rFonts w:ascii="Calibri" w:eastAsia="Times New Roman" w:hAnsi="Calibri" w:cs="Calibri"/>
                <w:color w:val="000000"/>
                <w:sz w:val="18"/>
                <w:szCs w:val="18"/>
                <w:lang w:val="es-AR" w:eastAsia="es-AR"/>
              </w:rPr>
            </w:pPr>
            <w:r w:rsidRPr="00C22F72">
              <w:rPr>
                <w:rFonts w:ascii="Calibri" w:eastAsia="Times New Roman" w:hAnsi="Calibri" w:cs="Calibri"/>
                <w:color w:val="000000"/>
                <w:sz w:val="18"/>
                <w:szCs w:val="18"/>
                <w:lang w:val="es-AR" w:eastAsia="es-AR"/>
              </w:rPr>
              <w:t xml:space="preserve">Crec. </w:t>
            </w:r>
            <w:r w:rsidRPr="00C22F72">
              <w:rPr>
                <w:rFonts w:ascii="Calibri" w:eastAsia="Times New Roman" w:hAnsi="Calibri" w:cs="Calibri"/>
                <w:color w:val="000000"/>
                <w:sz w:val="18"/>
                <w:szCs w:val="18"/>
                <w:lang w:val="es-AR" w:eastAsia="es-AR"/>
              </w:rPr>
              <w:br/>
              <w:t>1993-2014 Promedio</w:t>
            </w:r>
          </w:p>
        </w:tc>
        <w:tc>
          <w:tcPr>
            <w:tcW w:w="950" w:type="pct"/>
            <w:tcBorders>
              <w:top w:val="nil"/>
              <w:left w:val="nil"/>
              <w:bottom w:val="single" w:sz="4" w:space="0" w:color="auto"/>
              <w:right w:val="single" w:sz="4" w:space="0" w:color="auto"/>
            </w:tcBorders>
            <w:shd w:val="clear" w:color="auto" w:fill="auto"/>
            <w:noWrap/>
            <w:vAlign w:val="center"/>
            <w:hideMark/>
          </w:tcPr>
          <w:p w14:paraId="5F44290D" w14:textId="77777777" w:rsidR="00C22F72" w:rsidRPr="00C22F72" w:rsidRDefault="00C22F72" w:rsidP="008B5D7F">
            <w:pPr>
              <w:spacing w:after="0" w:line="240" w:lineRule="auto"/>
              <w:ind w:firstLine="0"/>
              <w:jc w:val="center"/>
              <w:rPr>
                <w:rFonts w:ascii="Calibri" w:eastAsia="Times New Roman" w:hAnsi="Calibri" w:cs="Calibri"/>
                <w:color w:val="000000"/>
                <w:sz w:val="18"/>
                <w:szCs w:val="18"/>
                <w:lang w:val="es-AR" w:eastAsia="es-AR"/>
              </w:rPr>
            </w:pPr>
            <w:r w:rsidRPr="00C22F72">
              <w:rPr>
                <w:rFonts w:ascii="Calibri" w:eastAsia="Times New Roman" w:hAnsi="Calibri" w:cs="Calibri"/>
                <w:color w:val="000000"/>
                <w:sz w:val="18"/>
                <w:szCs w:val="18"/>
                <w:lang w:val="es-AR" w:eastAsia="es-AR"/>
              </w:rPr>
              <w:t>111,1%</w:t>
            </w:r>
          </w:p>
        </w:tc>
        <w:tc>
          <w:tcPr>
            <w:tcW w:w="538" w:type="pct"/>
            <w:tcBorders>
              <w:top w:val="nil"/>
              <w:left w:val="nil"/>
              <w:bottom w:val="nil"/>
              <w:right w:val="nil"/>
            </w:tcBorders>
            <w:shd w:val="clear" w:color="000000" w:fill="FFFFFF"/>
            <w:noWrap/>
            <w:vAlign w:val="center"/>
            <w:hideMark/>
          </w:tcPr>
          <w:p w14:paraId="54E7BBAD" w14:textId="77777777" w:rsidR="00C22F72" w:rsidRPr="00C22F72" w:rsidRDefault="00C22F72" w:rsidP="008B5D7F">
            <w:pPr>
              <w:spacing w:after="0" w:line="240" w:lineRule="auto"/>
              <w:ind w:firstLine="0"/>
              <w:jc w:val="center"/>
              <w:rPr>
                <w:rFonts w:ascii="Calibri" w:eastAsia="Times New Roman" w:hAnsi="Calibri" w:cs="Calibri"/>
                <w:color w:val="000000"/>
                <w:sz w:val="18"/>
                <w:szCs w:val="18"/>
                <w:lang w:val="es-AR" w:eastAsia="es-AR"/>
              </w:rPr>
            </w:pPr>
            <w:r w:rsidRPr="00C22F72">
              <w:rPr>
                <w:rFonts w:ascii="Calibri" w:eastAsia="Times New Roman" w:hAnsi="Calibri" w:cs="Calibri"/>
                <w:color w:val="000000"/>
                <w:sz w:val="18"/>
                <w:szCs w:val="18"/>
                <w:lang w:val="es-AR" w:eastAsia="es-AR"/>
              </w:rPr>
              <w:t> </w:t>
            </w:r>
          </w:p>
        </w:tc>
        <w:tc>
          <w:tcPr>
            <w:tcW w:w="932" w:type="pct"/>
            <w:tcBorders>
              <w:top w:val="nil"/>
              <w:left w:val="single" w:sz="4" w:space="0" w:color="auto"/>
              <w:bottom w:val="single" w:sz="4" w:space="0" w:color="auto"/>
              <w:right w:val="single" w:sz="4" w:space="0" w:color="auto"/>
            </w:tcBorders>
            <w:shd w:val="clear" w:color="auto" w:fill="auto"/>
            <w:noWrap/>
            <w:vAlign w:val="center"/>
            <w:hideMark/>
          </w:tcPr>
          <w:p w14:paraId="5917C186" w14:textId="77777777" w:rsidR="00C22F72" w:rsidRPr="00C22F72" w:rsidRDefault="00C22F72" w:rsidP="008B5D7F">
            <w:pPr>
              <w:spacing w:after="0" w:line="240" w:lineRule="auto"/>
              <w:ind w:firstLine="0"/>
              <w:jc w:val="center"/>
              <w:rPr>
                <w:rFonts w:ascii="Calibri" w:eastAsia="Times New Roman" w:hAnsi="Calibri" w:cs="Calibri"/>
                <w:color w:val="000000"/>
                <w:sz w:val="18"/>
                <w:szCs w:val="18"/>
                <w:lang w:val="es-AR" w:eastAsia="es-AR"/>
              </w:rPr>
            </w:pPr>
            <w:r w:rsidRPr="00C22F72">
              <w:rPr>
                <w:rFonts w:ascii="Calibri" w:eastAsia="Times New Roman" w:hAnsi="Calibri" w:cs="Calibri"/>
                <w:color w:val="000000"/>
                <w:sz w:val="18"/>
                <w:szCs w:val="18"/>
                <w:lang w:val="es-AR" w:eastAsia="es-AR"/>
              </w:rPr>
              <w:t>-0,5%</w:t>
            </w:r>
          </w:p>
        </w:tc>
        <w:tc>
          <w:tcPr>
            <w:tcW w:w="1004" w:type="pct"/>
            <w:tcBorders>
              <w:top w:val="nil"/>
              <w:left w:val="nil"/>
              <w:bottom w:val="single" w:sz="4" w:space="0" w:color="auto"/>
              <w:right w:val="single" w:sz="4" w:space="0" w:color="auto"/>
            </w:tcBorders>
            <w:shd w:val="clear" w:color="auto" w:fill="auto"/>
            <w:noWrap/>
            <w:vAlign w:val="center"/>
            <w:hideMark/>
          </w:tcPr>
          <w:p w14:paraId="7F681E2C" w14:textId="77777777" w:rsidR="00C22F72" w:rsidRPr="00C22F72" w:rsidRDefault="00C22F72" w:rsidP="008B5D7F">
            <w:pPr>
              <w:spacing w:after="0" w:line="240" w:lineRule="auto"/>
              <w:ind w:firstLine="0"/>
              <w:jc w:val="center"/>
              <w:rPr>
                <w:rFonts w:ascii="Calibri" w:eastAsia="Times New Roman" w:hAnsi="Calibri" w:cs="Calibri"/>
                <w:color w:val="000000"/>
                <w:sz w:val="18"/>
                <w:szCs w:val="18"/>
                <w:lang w:val="es-AR" w:eastAsia="es-AR"/>
              </w:rPr>
            </w:pPr>
            <w:r w:rsidRPr="00C22F72">
              <w:rPr>
                <w:rFonts w:ascii="Calibri" w:eastAsia="Times New Roman" w:hAnsi="Calibri" w:cs="Calibri"/>
                <w:color w:val="000000"/>
                <w:sz w:val="18"/>
                <w:szCs w:val="18"/>
                <w:lang w:val="es-AR" w:eastAsia="es-AR"/>
              </w:rPr>
              <w:t>2,1%</w:t>
            </w:r>
          </w:p>
        </w:tc>
        <w:tc>
          <w:tcPr>
            <w:tcW w:w="986" w:type="pct"/>
            <w:tcBorders>
              <w:top w:val="nil"/>
              <w:left w:val="nil"/>
              <w:bottom w:val="single" w:sz="4" w:space="0" w:color="auto"/>
              <w:right w:val="single" w:sz="4" w:space="0" w:color="auto"/>
            </w:tcBorders>
            <w:shd w:val="clear" w:color="auto" w:fill="auto"/>
            <w:noWrap/>
            <w:vAlign w:val="center"/>
            <w:hideMark/>
          </w:tcPr>
          <w:p w14:paraId="585A7EC9" w14:textId="77777777" w:rsidR="00C22F72" w:rsidRPr="00C22F72" w:rsidRDefault="00C22F72" w:rsidP="008B5D7F">
            <w:pPr>
              <w:spacing w:after="0" w:line="240" w:lineRule="auto"/>
              <w:ind w:firstLine="0"/>
              <w:jc w:val="center"/>
              <w:rPr>
                <w:rFonts w:ascii="Calibri" w:eastAsia="Times New Roman" w:hAnsi="Calibri" w:cs="Calibri"/>
                <w:color w:val="000000"/>
                <w:sz w:val="18"/>
                <w:szCs w:val="18"/>
                <w:lang w:val="es-AR" w:eastAsia="es-AR"/>
              </w:rPr>
            </w:pPr>
            <w:r w:rsidRPr="00C22F72">
              <w:rPr>
                <w:rFonts w:ascii="Calibri" w:eastAsia="Times New Roman" w:hAnsi="Calibri" w:cs="Calibri"/>
                <w:color w:val="000000"/>
                <w:sz w:val="18"/>
                <w:szCs w:val="18"/>
                <w:lang w:val="es-AR" w:eastAsia="es-AR"/>
              </w:rPr>
              <w:t>8,99%</w:t>
            </w:r>
          </w:p>
        </w:tc>
      </w:tr>
      <w:tr w:rsidR="00C22F72" w:rsidRPr="00C22F72" w14:paraId="16137BEC" w14:textId="77777777" w:rsidTr="00C22F72">
        <w:trPr>
          <w:trHeight w:val="300"/>
        </w:trPr>
        <w:tc>
          <w:tcPr>
            <w:tcW w:w="591" w:type="pct"/>
            <w:tcBorders>
              <w:top w:val="nil"/>
              <w:left w:val="single" w:sz="4" w:space="0" w:color="auto"/>
              <w:bottom w:val="nil"/>
              <w:right w:val="single" w:sz="4" w:space="0" w:color="auto"/>
            </w:tcBorders>
            <w:shd w:val="clear" w:color="auto" w:fill="auto"/>
            <w:vAlign w:val="center"/>
            <w:hideMark/>
          </w:tcPr>
          <w:p w14:paraId="0C113F90" w14:textId="77777777" w:rsidR="00C22F72" w:rsidRPr="00C22F72" w:rsidRDefault="00C22F72" w:rsidP="008B5D7F">
            <w:pPr>
              <w:spacing w:after="0" w:line="240" w:lineRule="auto"/>
              <w:ind w:firstLine="0"/>
              <w:jc w:val="center"/>
              <w:rPr>
                <w:rFonts w:ascii="Calibri" w:eastAsia="Times New Roman" w:hAnsi="Calibri" w:cs="Calibri"/>
                <w:color w:val="000000"/>
                <w:sz w:val="18"/>
                <w:szCs w:val="18"/>
                <w:lang w:val="es-AR" w:eastAsia="es-AR"/>
              </w:rPr>
            </w:pPr>
            <w:r w:rsidRPr="00C22F72">
              <w:rPr>
                <w:rFonts w:ascii="Calibri" w:eastAsia="Times New Roman" w:hAnsi="Calibri" w:cs="Calibri"/>
                <w:color w:val="000000"/>
                <w:sz w:val="18"/>
                <w:szCs w:val="18"/>
                <w:lang w:val="es-AR" w:eastAsia="es-AR"/>
              </w:rPr>
              <w:t>Mendoza</w:t>
            </w:r>
          </w:p>
        </w:tc>
        <w:tc>
          <w:tcPr>
            <w:tcW w:w="950" w:type="pct"/>
            <w:tcBorders>
              <w:top w:val="nil"/>
              <w:left w:val="nil"/>
              <w:bottom w:val="nil"/>
              <w:right w:val="single" w:sz="4" w:space="0" w:color="auto"/>
            </w:tcBorders>
            <w:shd w:val="clear" w:color="auto" w:fill="auto"/>
            <w:noWrap/>
            <w:vAlign w:val="center"/>
            <w:hideMark/>
          </w:tcPr>
          <w:p w14:paraId="0CC01E0E" w14:textId="77777777" w:rsidR="00C22F72" w:rsidRPr="00C22F72" w:rsidRDefault="00C22F72" w:rsidP="008B5D7F">
            <w:pPr>
              <w:spacing w:after="0" w:line="240" w:lineRule="auto"/>
              <w:ind w:firstLine="0"/>
              <w:jc w:val="center"/>
              <w:rPr>
                <w:rFonts w:ascii="Calibri" w:eastAsia="Times New Roman" w:hAnsi="Calibri" w:cs="Calibri"/>
                <w:color w:val="000000"/>
                <w:sz w:val="18"/>
                <w:szCs w:val="18"/>
                <w:lang w:val="es-AR" w:eastAsia="es-AR"/>
              </w:rPr>
            </w:pPr>
            <w:r w:rsidRPr="00C22F72">
              <w:rPr>
                <w:rFonts w:ascii="Calibri" w:eastAsia="Times New Roman" w:hAnsi="Calibri" w:cs="Calibri"/>
                <w:color w:val="000000"/>
                <w:sz w:val="18"/>
                <w:szCs w:val="18"/>
                <w:lang w:val="es-AR" w:eastAsia="es-AR"/>
              </w:rPr>
              <w:t>96,5%</w:t>
            </w:r>
          </w:p>
        </w:tc>
        <w:tc>
          <w:tcPr>
            <w:tcW w:w="538" w:type="pct"/>
            <w:tcBorders>
              <w:top w:val="nil"/>
              <w:left w:val="nil"/>
              <w:bottom w:val="nil"/>
              <w:right w:val="nil"/>
            </w:tcBorders>
            <w:shd w:val="clear" w:color="000000" w:fill="FFFFFF"/>
            <w:noWrap/>
            <w:vAlign w:val="center"/>
            <w:hideMark/>
          </w:tcPr>
          <w:p w14:paraId="414DAF0A" w14:textId="77777777" w:rsidR="00C22F72" w:rsidRPr="00C22F72" w:rsidRDefault="00C22F72" w:rsidP="008B5D7F">
            <w:pPr>
              <w:spacing w:after="0" w:line="240" w:lineRule="auto"/>
              <w:ind w:firstLine="0"/>
              <w:jc w:val="center"/>
              <w:rPr>
                <w:rFonts w:ascii="Calibri" w:eastAsia="Times New Roman" w:hAnsi="Calibri" w:cs="Calibri"/>
                <w:color w:val="000000"/>
                <w:sz w:val="18"/>
                <w:szCs w:val="18"/>
                <w:lang w:val="es-AR" w:eastAsia="es-AR"/>
              </w:rPr>
            </w:pPr>
            <w:r w:rsidRPr="00C22F72">
              <w:rPr>
                <w:rFonts w:ascii="Calibri" w:eastAsia="Times New Roman" w:hAnsi="Calibri" w:cs="Calibri"/>
                <w:color w:val="000000"/>
                <w:sz w:val="18"/>
                <w:szCs w:val="18"/>
                <w:lang w:val="es-AR" w:eastAsia="es-AR"/>
              </w:rPr>
              <w:t> </w:t>
            </w:r>
          </w:p>
        </w:tc>
        <w:tc>
          <w:tcPr>
            <w:tcW w:w="932" w:type="pct"/>
            <w:tcBorders>
              <w:top w:val="nil"/>
              <w:left w:val="single" w:sz="4" w:space="0" w:color="auto"/>
              <w:bottom w:val="nil"/>
              <w:right w:val="single" w:sz="4" w:space="0" w:color="auto"/>
            </w:tcBorders>
            <w:shd w:val="clear" w:color="auto" w:fill="auto"/>
            <w:noWrap/>
            <w:vAlign w:val="center"/>
            <w:hideMark/>
          </w:tcPr>
          <w:p w14:paraId="5C40F610" w14:textId="77777777" w:rsidR="00C22F72" w:rsidRPr="00C22F72" w:rsidRDefault="00C22F72" w:rsidP="008B5D7F">
            <w:pPr>
              <w:spacing w:after="0" w:line="240" w:lineRule="auto"/>
              <w:ind w:firstLine="0"/>
              <w:jc w:val="center"/>
              <w:rPr>
                <w:rFonts w:ascii="Calibri" w:eastAsia="Times New Roman" w:hAnsi="Calibri" w:cs="Calibri"/>
                <w:color w:val="000000"/>
                <w:sz w:val="18"/>
                <w:szCs w:val="18"/>
                <w:lang w:val="es-AR" w:eastAsia="es-AR"/>
              </w:rPr>
            </w:pPr>
            <w:r w:rsidRPr="00C22F72">
              <w:rPr>
                <w:rFonts w:ascii="Calibri" w:eastAsia="Times New Roman" w:hAnsi="Calibri" w:cs="Calibri"/>
                <w:color w:val="000000"/>
                <w:sz w:val="18"/>
                <w:szCs w:val="18"/>
                <w:lang w:val="es-AR" w:eastAsia="es-AR"/>
              </w:rPr>
              <w:t>0,1%</w:t>
            </w:r>
          </w:p>
        </w:tc>
        <w:tc>
          <w:tcPr>
            <w:tcW w:w="1004" w:type="pct"/>
            <w:tcBorders>
              <w:top w:val="nil"/>
              <w:left w:val="nil"/>
              <w:bottom w:val="nil"/>
              <w:right w:val="single" w:sz="4" w:space="0" w:color="auto"/>
            </w:tcBorders>
            <w:shd w:val="clear" w:color="auto" w:fill="auto"/>
            <w:noWrap/>
            <w:vAlign w:val="center"/>
            <w:hideMark/>
          </w:tcPr>
          <w:p w14:paraId="432C9F13" w14:textId="77777777" w:rsidR="00C22F72" w:rsidRPr="00C22F72" w:rsidRDefault="00C22F72" w:rsidP="008B5D7F">
            <w:pPr>
              <w:spacing w:after="0" w:line="240" w:lineRule="auto"/>
              <w:ind w:firstLine="0"/>
              <w:jc w:val="center"/>
              <w:rPr>
                <w:rFonts w:ascii="Calibri" w:eastAsia="Times New Roman" w:hAnsi="Calibri" w:cs="Calibri"/>
                <w:color w:val="000000"/>
                <w:sz w:val="18"/>
                <w:szCs w:val="18"/>
                <w:lang w:val="es-AR" w:eastAsia="es-AR"/>
              </w:rPr>
            </w:pPr>
            <w:r w:rsidRPr="00C22F72">
              <w:rPr>
                <w:rFonts w:ascii="Calibri" w:eastAsia="Times New Roman" w:hAnsi="Calibri" w:cs="Calibri"/>
                <w:color w:val="000000"/>
                <w:sz w:val="18"/>
                <w:szCs w:val="18"/>
                <w:lang w:val="es-AR" w:eastAsia="es-AR"/>
              </w:rPr>
              <w:t>-14,7%</w:t>
            </w:r>
          </w:p>
        </w:tc>
        <w:tc>
          <w:tcPr>
            <w:tcW w:w="986" w:type="pct"/>
            <w:tcBorders>
              <w:top w:val="nil"/>
              <w:left w:val="nil"/>
              <w:bottom w:val="nil"/>
              <w:right w:val="single" w:sz="4" w:space="0" w:color="auto"/>
            </w:tcBorders>
            <w:shd w:val="clear" w:color="auto" w:fill="auto"/>
            <w:noWrap/>
            <w:vAlign w:val="center"/>
            <w:hideMark/>
          </w:tcPr>
          <w:p w14:paraId="21DF7EE3" w14:textId="77777777" w:rsidR="00C22F72" w:rsidRPr="00C22F72" w:rsidRDefault="00C22F72" w:rsidP="008B5D7F">
            <w:pPr>
              <w:spacing w:after="0" w:line="240" w:lineRule="auto"/>
              <w:ind w:firstLine="0"/>
              <w:jc w:val="center"/>
              <w:rPr>
                <w:rFonts w:ascii="Calibri" w:eastAsia="Times New Roman" w:hAnsi="Calibri" w:cs="Calibri"/>
                <w:color w:val="000000"/>
                <w:sz w:val="18"/>
                <w:szCs w:val="18"/>
                <w:lang w:val="es-AR" w:eastAsia="es-AR"/>
              </w:rPr>
            </w:pPr>
            <w:r w:rsidRPr="00C22F72">
              <w:rPr>
                <w:rFonts w:ascii="Calibri" w:eastAsia="Times New Roman" w:hAnsi="Calibri" w:cs="Calibri"/>
                <w:color w:val="000000"/>
                <w:sz w:val="18"/>
                <w:szCs w:val="18"/>
                <w:lang w:val="es-AR" w:eastAsia="es-AR"/>
              </w:rPr>
              <w:t>-9,00%</w:t>
            </w:r>
          </w:p>
        </w:tc>
      </w:tr>
      <w:tr w:rsidR="00C22F72" w:rsidRPr="00C22F72" w14:paraId="543FA440" w14:textId="77777777" w:rsidTr="00C22F72">
        <w:trPr>
          <w:trHeight w:val="480"/>
        </w:trPr>
        <w:tc>
          <w:tcPr>
            <w:tcW w:w="5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85BBB8" w14:textId="77777777" w:rsidR="00C22F72" w:rsidRPr="00C22F72" w:rsidRDefault="00C22F72" w:rsidP="008B5D7F">
            <w:pPr>
              <w:spacing w:after="0" w:line="240" w:lineRule="auto"/>
              <w:ind w:firstLine="0"/>
              <w:jc w:val="center"/>
              <w:rPr>
                <w:rFonts w:ascii="Calibri" w:eastAsia="Times New Roman" w:hAnsi="Calibri" w:cs="Calibri"/>
                <w:color w:val="000000"/>
                <w:sz w:val="18"/>
                <w:szCs w:val="18"/>
                <w:lang w:val="es-AR" w:eastAsia="es-AR"/>
              </w:rPr>
            </w:pPr>
            <w:r w:rsidRPr="00C22F72">
              <w:rPr>
                <w:rFonts w:ascii="Calibri" w:eastAsia="Times New Roman" w:hAnsi="Calibri" w:cs="Calibri"/>
                <w:color w:val="000000"/>
                <w:sz w:val="18"/>
                <w:szCs w:val="18"/>
                <w:lang w:val="es-AR" w:eastAsia="es-AR"/>
              </w:rPr>
              <w:t>Prov. Sobre prom.</w:t>
            </w:r>
          </w:p>
        </w:tc>
        <w:tc>
          <w:tcPr>
            <w:tcW w:w="950" w:type="pct"/>
            <w:tcBorders>
              <w:top w:val="single" w:sz="4" w:space="0" w:color="auto"/>
              <w:left w:val="nil"/>
              <w:bottom w:val="single" w:sz="4" w:space="0" w:color="auto"/>
              <w:right w:val="single" w:sz="4" w:space="0" w:color="auto"/>
            </w:tcBorders>
            <w:shd w:val="clear" w:color="auto" w:fill="auto"/>
            <w:noWrap/>
            <w:vAlign w:val="center"/>
            <w:hideMark/>
          </w:tcPr>
          <w:p w14:paraId="197F310D" w14:textId="77777777" w:rsidR="00C22F72" w:rsidRPr="00C22F72" w:rsidRDefault="00C22F72" w:rsidP="008B5D7F">
            <w:pPr>
              <w:spacing w:after="0" w:line="240" w:lineRule="auto"/>
              <w:ind w:firstLine="0"/>
              <w:jc w:val="center"/>
              <w:rPr>
                <w:rFonts w:ascii="Calibri" w:eastAsia="Times New Roman" w:hAnsi="Calibri" w:cs="Calibri"/>
                <w:color w:val="000000"/>
                <w:sz w:val="18"/>
                <w:szCs w:val="18"/>
                <w:lang w:val="es-AR" w:eastAsia="es-AR"/>
              </w:rPr>
            </w:pPr>
            <w:r w:rsidRPr="00C22F72">
              <w:rPr>
                <w:rFonts w:ascii="Calibri" w:eastAsia="Times New Roman" w:hAnsi="Calibri" w:cs="Calibri"/>
                <w:color w:val="000000"/>
                <w:sz w:val="18"/>
                <w:szCs w:val="18"/>
                <w:lang w:val="es-AR" w:eastAsia="es-AR"/>
              </w:rPr>
              <w:t>7</w:t>
            </w:r>
          </w:p>
        </w:tc>
        <w:tc>
          <w:tcPr>
            <w:tcW w:w="538" w:type="pct"/>
            <w:tcBorders>
              <w:top w:val="single" w:sz="4" w:space="0" w:color="auto"/>
              <w:left w:val="nil"/>
              <w:bottom w:val="single" w:sz="4" w:space="0" w:color="auto"/>
              <w:right w:val="single" w:sz="4" w:space="0" w:color="auto"/>
            </w:tcBorders>
            <w:shd w:val="clear" w:color="auto" w:fill="auto"/>
            <w:vAlign w:val="center"/>
            <w:hideMark/>
          </w:tcPr>
          <w:p w14:paraId="3F8983D5" w14:textId="77777777" w:rsidR="00C22F72" w:rsidRPr="00C22F72" w:rsidRDefault="00C22F72" w:rsidP="008B5D7F">
            <w:pPr>
              <w:spacing w:after="0" w:line="240" w:lineRule="auto"/>
              <w:ind w:firstLine="0"/>
              <w:jc w:val="center"/>
              <w:rPr>
                <w:rFonts w:ascii="Calibri" w:eastAsia="Times New Roman" w:hAnsi="Calibri" w:cs="Calibri"/>
                <w:color w:val="000000"/>
                <w:sz w:val="18"/>
                <w:szCs w:val="18"/>
                <w:lang w:val="es-AR" w:eastAsia="es-AR"/>
              </w:rPr>
            </w:pPr>
            <w:r w:rsidRPr="00C22F72">
              <w:rPr>
                <w:rFonts w:ascii="Calibri" w:eastAsia="Times New Roman" w:hAnsi="Calibri" w:cs="Calibri"/>
                <w:color w:val="000000"/>
                <w:sz w:val="18"/>
                <w:szCs w:val="18"/>
                <w:lang w:val="es-AR" w:eastAsia="es-AR"/>
              </w:rPr>
              <w:t>Prov. Crec</w:t>
            </w:r>
          </w:p>
        </w:tc>
        <w:tc>
          <w:tcPr>
            <w:tcW w:w="932" w:type="pct"/>
            <w:tcBorders>
              <w:top w:val="single" w:sz="4" w:space="0" w:color="auto"/>
              <w:left w:val="nil"/>
              <w:bottom w:val="single" w:sz="4" w:space="0" w:color="auto"/>
              <w:right w:val="single" w:sz="4" w:space="0" w:color="auto"/>
            </w:tcBorders>
            <w:shd w:val="clear" w:color="auto" w:fill="auto"/>
            <w:noWrap/>
            <w:vAlign w:val="center"/>
            <w:hideMark/>
          </w:tcPr>
          <w:p w14:paraId="1993607E" w14:textId="77777777" w:rsidR="00C22F72" w:rsidRPr="00C22F72" w:rsidRDefault="00C22F72" w:rsidP="008B5D7F">
            <w:pPr>
              <w:spacing w:after="0" w:line="240" w:lineRule="auto"/>
              <w:ind w:firstLine="0"/>
              <w:jc w:val="center"/>
              <w:rPr>
                <w:rFonts w:ascii="Calibri" w:eastAsia="Times New Roman" w:hAnsi="Calibri" w:cs="Calibri"/>
                <w:color w:val="000000"/>
                <w:sz w:val="18"/>
                <w:szCs w:val="18"/>
                <w:lang w:val="es-AR" w:eastAsia="es-AR"/>
              </w:rPr>
            </w:pPr>
            <w:r w:rsidRPr="00C22F72">
              <w:rPr>
                <w:rFonts w:ascii="Calibri" w:eastAsia="Times New Roman" w:hAnsi="Calibri" w:cs="Calibri"/>
                <w:color w:val="000000"/>
                <w:sz w:val="18"/>
                <w:szCs w:val="18"/>
                <w:lang w:val="es-AR" w:eastAsia="es-AR"/>
              </w:rPr>
              <w:t>7</w:t>
            </w:r>
          </w:p>
        </w:tc>
        <w:tc>
          <w:tcPr>
            <w:tcW w:w="1004" w:type="pct"/>
            <w:tcBorders>
              <w:top w:val="single" w:sz="4" w:space="0" w:color="auto"/>
              <w:left w:val="nil"/>
              <w:bottom w:val="single" w:sz="4" w:space="0" w:color="auto"/>
              <w:right w:val="single" w:sz="4" w:space="0" w:color="auto"/>
            </w:tcBorders>
            <w:shd w:val="clear" w:color="auto" w:fill="auto"/>
            <w:noWrap/>
            <w:vAlign w:val="center"/>
            <w:hideMark/>
          </w:tcPr>
          <w:p w14:paraId="45E97AA5" w14:textId="77777777" w:rsidR="00C22F72" w:rsidRPr="00C22F72" w:rsidRDefault="00C22F72" w:rsidP="008B5D7F">
            <w:pPr>
              <w:spacing w:after="0" w:line="240" w:lineRule="auto"/>
              <w:ind w:firstLine="0"/>
              <w:jc w:val="center"/>
              <w:rPr>
                <w:rFonts w:ascii="Calibri" w:eastAsia="Times New Roman" w:hAnsi="Calibri" w:cs="Calibri"/>
                <w:color w:val="000000"/>
                <w:sz w:val="18"/>
                <w:szCs w:val="18"/>
                <w:lang w:val="es-AR" w:eastAsia="es-AR"/>
              </w:rPr>
            </w:pPr>
            <w:r w:rsidRPr="00C22F72">
              <w:rPr>
                <w:rFonts w:ascii="Calibri" w:eastAsia="Times New Roman" w:hAnsi="Calibri" w:cs="Calibri"/>
                <w:color w:val="000000"/>
                <w:sz w:val="18"/>
                <w:szCs w:val="18"/>
                <w:lang w:val="es-AR" w:eastAsia="es-AR"/>
              </w:rPr>
              <w:t>9</w:t>
            </w:r>
          </w:p>
        </w:tc>
        <w:tc>
          <w:tcPr>
            <w:tcW w:w="986" w:type="pct"/>
            <w:tcBorders>
              <w:top w:val="single" w:sz="4" w:space="0" w:color="auto"/>
              <w:left w:val="nil"/>
              <w:bottom w:val="single" w:sz="4" w:space="0" w:color="auto"/>
              <w:right w:val="single" w:sz="4" w:space="0" w:color="auto"/>
            </w:tcBorders>
            <w:shd w:val="clear" w:color="auto" w:fill="auto"/>
            <w:noWrap/>
            <w:vAlign w:val="center"/>
            <w:hideMark/>
          </w:tcPr>
          <w:p w14:paraId="2912E09D" w14:textId="77777777" w:rsidR="00C22F72" w:rsidRPr="00C22F72" w:rsidRDefault="00C22F72" w:rsidP="008B5D7F">
            <w:pPr>
              <w:spacing w:after="0" w:line="240" w:lineRule="auto"/>
              <w:ind w:firstLine="0"/>
              <w:jc w:val="center"/>
              <w:rPr>
                <w:rFonts w:ascii="Calibri" w:eastAsia="Times New Roman" w:hAnsi="Calibri" w:cs="Calibri"/>
                <w:color w:val="000000"/>
                <w:sz w:val="18"/>
                <w:szCs w:val="18"/>
                <w:lang w:val="es-AR" w:eastAsia="es-AR"/>
              </w:rPr>
            </w:pPr>
            <w:r w:rsidRPr="00C22F72">
              <w:rPr>
                <w:rFonts w:ascii="Calibri" w:eastAsia="Times New Roman" w:hAnsi="Calibri" w:cs="Calibri"/>
                <w:color w:val="000000"/>
                <w:sz w:val="18"/>
                <w:szCs w:val="18"/>
                <w:lang w:val="es-AR" w:eastAsia="es-AR"/>
              </w:rPr>
              <w:t>11</w:t>
            </w:r>
          </w:p>
        </w:tc>
      </w:tr>
      <w:tr w:rsidR="00C22F72" w:rsidRPr="00C22F72" w14:paraId="3E4C1728" w14:textId="77777777" w:rsidTr="00C22F72">
        <w:trPr>
          <w:trHeight w:val="480"/>
        </w:trPr>
        <w:tc>
          <w:tcPr>
            <w:tcW w:w="591" w:type="pct"/>
            <w:tcBorders>
              <w:top w:val="nil"/>
              <w:left w:val="single" w:sz="4" w:space="0" w:color="auto"/>
              <w:bottom w:val="single" w:sz="4" w:space="0" w:color="auto"/>
              <w:right w:val="single" w:sz="4" w:space="0" w:color="auto"/>
            </w:tcBorders>
            <w:shd w:val="clear" w:color="auto" w:fill="auto"/>
            <w:vAlign w:val="center"/>
            <w:hideMark/>
          </w:tcPr>
          <w:p w14:paraId="288D1473" w14:textId="77777777" w:rsidR="00C22F72" w:rsidRPr="00C22F72" w:rsidRDefault="00C22F72" w:rsidP="008B5D7F">
            <w:pPr>
              <w:spacing w:after="0" w:line="240" w:lineRule="auto"/>
              <w:ind w:firstLine="0"/>
              <w:jc w:val="center"/>
              <w:rPr>
                <w:rFonts w:ascii="Calibri" w:eastAsia="Times New Roman" w:hAnsi="Calibri" w:cs="Calibri"/>
                <w:color w:val="000000"/>
                <w:sz w:val="18"/>
                <w:szCs w:val="18"/>
                <w:lang w:val="es-AR" w:eastAsia="es-AR"/>
              </w:rPr>
            </w:pPr>
            <w:r w:rsidRPr="00C22F72">
              <w:rPr>
                <w:rFonts w:ascii="Calibri" w:eastAsia="Times New Roman" w:hAnsi="Calibri" w:cs="Calibri"/>
                <w:color w:val="000000"/>
                <w:sz w:val="18"/>
                <w:szCs w:val="18"/>
                <w:lang w:val="es-AR" w:eastAsia="es-AR"/>
              </w:rPr>
              <w:t>Prov. Bajo prom.</w:t>
            </w:r>
          </w:p>
        </w:tc>
        <w:tc>
          <w:tcPr>
            <w:tcW w:w="950" w:type="pct"/>
            <w:tcBorders>
              <w:top w:val="nil"/>
              <w:left w:val="nil"/>
              <w:bottom w:val="single" w:sz="4" w:space="0" w:color="auto"/>
              <w:right w:val="single" w:sz="4" w:space="0" w:color="auto"/>
            </w:tcBorders>
            <w:shd w:val="clear" w:color="auto" w:fill="auto"/>
            <w:noWrap/>
            <w:vAlign w:val="center"/>
            <w:hideMark/>
          </w:tcPr>
          <w:p w14:paraId="47565A84" w14:textId="77777777" w:rsidR="00C22F72" w:rsidRPr="00C22F72" w:rsidRDefault="00C22F72" w:rsidP="008B5D7F">
            <w:pPr>
              <w:spacing w:after="0" w:line="240" w:lineRule="auto"/>
              <w:ind w:firstLine="0"/>
              <w:jc w:val="center"/>
              <w:rPr>
                <w:rFonts w:ascii="Calibri" w:eastAsia="Times New Roman" w:hAnsi="Calibri" w:cs="Calibri"/>
                <w:color w:val="000000"/>
                <w:sz w:val="18"/>
                <w:szCs w:val="18"/>
                <w:lang w:val="es-AR" w:eastAsia="es-AR"/>
              </w:rPr>
            </w:pPr>
            <w:r w:rsidRPr="00C22F72">
              <w:rPr>
                <w:rFonts w:ascii="Calibri" w:eastAsia="Times New Roman" w:hAnsi="Calibri" w:cs="Calibri"/>
                <w:color w:val="000000"/>
                <w:sz w:val="18"/>
                <w:szCs w:val="18"/>
                <w:lang w:val="es-AR" w:eastAsia="es-AR"/>
              </w:rPr>
              <w:t>17</w:t>
            </w:r>
          </w:p>
        </w:tc>
        <w:tc>
          <w:tcPr>
            <w:tcW w:w="538" w:type="pct"/>
            <w:tcBorders>
              <w:top w:val="nil"/>
              <w:left w:val="nil"/>
              <w:bottom w:val="single" w:sz="4" w:space="0" w:color="auto"/>
              <w:right w:val="single" w:sz="4" w:space="0" w:color="auto"/>
            </w:tcBorders>
            <w:shd w:val="clear" w:color="auto" w:fill="auto"/>
            <w:vAlign w:val="center"/>
            <w:hideMark/>
          </w:tcPr>
          <w:p w14:paraId="56DB5284" w14:textId="77777777" w:rsidR="00C22F72" w:rsidRPr="00C22F72" w:rsidRDefault="00C22F72" w:rsidP="008B5D7F">
            <w:pPr>
              <w:spacing w:after="0" w:line="240" w:lineRule="auto"/>
              <w:ind w:firstLine="0"/>
              <w:jc w:val="center"/>
              <w:rPr>
                <w:rFonts w:ascii="Calibri" w:eastAsia="Times New Roman" w:hAnsi="Calibri" w:cs="Calibri"/>
                <w:color w:val="000000"/>
                <w:sz w:val="18"/>
                <w:szCs w:val="18"/>
                <w:lang w:val="es-AR" w:eastAsia="es-AR"/>
              </w:rPr>
            </w:pPr>
            <w:r w:rsidRPr="00C22F72">
              <w:rPr>
                <w:rFonts w:ascii="Calibri" w:eastAsia="Times New Roman" w:hAnsi="Calibri" w:cs="Calibri"/>
                <w:color w:val="000000"/>
                <w:sz w:val="18"/>
                <w:szCs w:val="18"/>
                <w:lang w:val="es-AR" w:eastAsia="es-AR"/>
              </w:rPr>
              <w:t>Prov. Decrec.</w:t>
            </w:r>
          </w:p>
        </w:tc>
        <w:tc>
          <w:tcPr>
            <w:tcW w:w="932" w:type="pct"/>
            <w:tcBorders>
              <w:top w:val="nil"/>
              <w:left w:val="nil"/>
              <w:bottom w:val="single" w:sz="4" w:space="0" w:color="auto"/>
              <w:right w:val="single" w:sz="4" w:space="0" w:color="auto"/>
            </w:tcBorders>
            <w:shd w:val="clear" w:color="auto" w:fill="auto"/>
            <w:noWrap/>
            <w:vAlign w:val="center"/>
            <w:hideMark/>
          </w:tcPr>
          <w:p w14:paraId="36F9869E" w14:textId="77777777" w:rsidR="00C22F72" w:rsidRPr="00C22F72" w:rsidRDefault="00C22F72" w:rsidP="008B5D7F">
            <w:pPr>
              <w:spacing w:after="0" w:line="240" w:lineRule="auto"/>
              <w:ind w:firstLine="0"/>
              <w:jc w:val="center"/>
              <w:rPr>
                <w:rFonts w:ascii="Calibri" w:eastAsia="Times New Roman" w:hAnsi="Calibri" w:cs="Calibri"/>
                <w:color w:val="000000"/>
                <w:sz w:val="18"/>
                <w:szCs w:val="18"/>
                <w:lang w:val="es-AR" w:eastAsia="es-AR"/>
              </w:rPr>
            </w:pPr>
            <w:r w:rsidRPr="00C22F72">
              <w:rPr>
                <w:rFonts w:ascii="Calibri" w:eastAsia="Times New Roman" w:hAnsi="Calibri" w:cs="Calibri"/>
                <w:color w:val="000000"/>
                <w:sz w:val="18"/>
                <w:szCs w:val="18"/>
                <w:lang w:val="es-AR" w:eastAsia="es-AR"/>
              </w:rPr>
              <w:t>17</w:t>
            </w:r>
          </w:p>
        </w:tc>
        <w:tc>
          <w:tcPr>
            <w:tcW w:w="1004" w:type="pct"/>
            <w:tcBorders>
              <w:top w:val="nil"/>
              <w:left w:val="nil"/>
              <w:bottom w:val="single" w:sz="4" w:space="0" w:color="auto"/>
              <w:right w:val="single" w:sz="4" w:space="0" w:color="auto"/>
            </w:tcBorders>
            <w:shd w:val="clear" w:color="auto" w:fill="auto"/>
            <w:noWrap/>
            <w:vAlign w:val="center"/>
            <w:hideMark/>
          </w:tcPr>
          <w:p w14:paraId="1DAE2E1F" w14:textId="77777777" w:rsidR="00C22F72" w:rsidRPr="00C22F72" w:rsidRDefault="00C22F72" w:rsidP="008B5D7F">
            <w:pPr>
              <w:spacing w:after="0" w:line="240" w:lineRule="auto"/>
              <w:ind w:firstLine="0"/>
              <w:jc w:val="center"/>
              <w:rPr>
                <w:rFonts w:ascii="Calibri" w:eastAsia="Times New Roman" w:hAnsi="Calibri" w:cs="Calibri"/>
                <w:color w:val="000000"/>
                <w:sz w:val="18"/>
                <w:szCs w:val="18"/>
                <w:lang w:val="es-AR" w:eastAsia="es-AR"/>
              </w:rPr>
            </w:pPr>
            <w:r w:rsidRPr="00C22F72">
              <w:rPr>
                <w:rFonts w:ascii="Calibri" w:eastAsia="Times New Roman" w:hAnsi="Calibri" w:cs="Calibri"/>
                <w:color w:val="000000"/>
                <w:sz w:val="18"/>
                <w:szCs w:val="18"/>
                <w:lang w:val="es-AR" w:eastAsia="es-AR"/>
              </w:rPr>
              <w:t>15</w:t>
            </w:r>
          </w:p>
        </w:tc>
        <w:tc>
          <w:tcPr>
            <w:tcW w:w="986" w:type="pct"/>
            <w:tcBorders>
              <w:top w:val="nil"/>
              <w:left w:val="nil"/>
              <w:bottom w:val="single" w:sz="4" w:space="0" w:color="auto"/>
              <w:right w:val="single" w:sz="4" w:space="0" w:color="auto"/>
            </w:tcBorders>
            <w:shd w:val="clear" w:color="auto" w:fill="auto"/>
            <w:noWrap/>
            <w:vAlign w:val="center"/>
            <w:hideMark/>
          </w:tcPr>
          <w:p w14:paraId="3E2C231E" w14:textId="77777777" w:rsidR="00C22F72" w:rsidRPr="00C22F72" w:rsidRDefault="00C22F72" w:rsidP="008B5D7F">
            <w:pPr>
              <w:spacing w:after="0" w:line="240" w:lineRule="auto"/>
              <w:ind w:firstLine="0"/>
              <w:jc w:val="center"/>
              <w:rPr>
                <w:rFonts w:ascii="Calibri" w:eastAsia="Times New Roman" w:hAnsi="Calibri" w:cs="Calibri"/>
                <w:color w:val="000000"/>
                <w:sz w:val="18"/>
                <w:szCs w:val="18"/>
                <w:lang w:val="es-AR" w:eastAsia="es-AR"/>
              </w:rPr>
            </w:pPr>
            <w:r w:rsidRPr="00C22F72">
              <w:rPr>
                <w:rFonts w:ascii="Calibri" w:eastAsia="Times New Roman" w:hAnsi="Calibri" w:cs="Calibri"/>
                <w:color w:val="000000"/>
                <w:sz w:val="18"/>
                <w:szCs w:val="18"/>
                <w:lang w:val="es-AR" w:eastAsia="es-AR"/>
              </w:rPr>
              <w:t>13</w:t>
            </w:r>
          </w:p>
        </w:tc>
      </w:tr>
    </w:tbl>
    <w:p w14:paraId="696E99E6" w14:textId="77777777" w:rsidR="007A0D8F" w:rsidRPr="007163AB" w:rsidRDefault="007A0D8F" w:rsidP="008B5D7F">
      <w:pPr>
        <w:spacing w:line="240" w:lineRule="auto"/>
        <w:jc w:val="center"/>
        <w:rPr>
          <w:rFonts w:cstheme="minorHAnsi"/>
          <w:sz w:val="16"/>
          <w:szCs w:val="16"/>
          <w:lang w:val="es-AR"/>
        </w:rPr>
      </w:pPr>
      <w:r w:rsidRPr="007163AB">
        <w:rPr>
          <w:rFonts w:cstheme="minorHAnsi"/>
          <w:sz w:val="16"/>
          <w:szCs w:val="16"/>
          <w:lang w:val="es-AR"/>
        </w:rPr>
        <w:t>Fuente: Elaboración propia.</w:t>
      </w:r>
    </w:p>
    <w:p w14:paraId="4332E15F" w14:textId="77777777" w:rsidR="00AD18D2" w:rsidRPr="00F90347" w:rsidRDefault="00AD18D2" w:rsidP="008B5D7F">
      <w:pPr>
        <w:spacing w:line="240" w:lineRule="auto"/>
        <w:rPr>
          <w:lang w:val="es-AR"/>
        </w:rPr>
      </w:pPr>
      <w:r w:rsidRPr="00F90347">
        <w:rPr>
          <w:lang w:val="es-AR"/>
        </w:rPr>
        <w:t>A través del cálculo de correlaciones se encontró que existe una relación positiva entre ingresos propios y capacidad fiscal de las provincias argentinas, como se planteó en la hipótesis, mientras que las transferencias no automáticas evidencian una relación negativa con el esfuerzo fiscal, también corroborando la hipótesis planteada.</w:t>
      </w:r>
    </w:p>
    <w:p w14:paraId="11FCC4AB" w14:textId="77777777" w:rsidR="00AD18D2" w:rsidRPr="00F90347" w:rsidRDefault="00AD18D2" w:rsidP="008B5D7F">
      <w:pPr>
        <w:spacing w:line="240" w:lineRule="auto"/>
        <w:rPr>
          <w:lang w:val="es-AR"/>
        </w:rPr>
      </w:pPr>
      <w:r w:rsidRPr="00F90347">
        <w:rPr>
          <w:lang w:val="es-AR"/>
        </w:rPr>
        <w:t>Por otro lado, la relación entre la capacidad fiscal y el esfuerzo fiscal dio positiva, a diferencia de lo que se planteó en la hipótesis.</w:t>
      </w:r>
    </w:p>
    <w:p w14:paraId="32C7908D" w14:textId="6108A697" w:rsidR="000B3E04" w:rsidRDefault="00FD776F" w:rsidP="008B5D7F">
      <w:pPr>
        <w:pStyle w:val="Ttulo2"/>
        <w:numPr>
          <w:ilvl w:val="0"/>
          <w:numId w:val="31"/>
        </w:numPr>
        <w:ind w:left="0" w:firstLine="0"/>
        <w:rPr>
          <w:lang w:val="es-AR"/>
        </w:rPr>
      </w:pPr>
      <w:bookmarkStart w:id="5" w:name="_Toc491725413"/>
      <w:r>
        <w:rPr>
          <w:lang w:val="es-AR"/>
        </w:rPr>
        <w:t>APROXIMACIÓN ECONOMÉTRICA AL ESFUERZO FISCAL</w:t>
      </w:r>
      <w:bookmarkEnd w:id="5"/>
    </w:p>
    <w:p w14:paraId="5F854AD9" w14:textId="6A326B15" w:rsidR="00DF28B6" w:rsidRPr="004E10B7" w:rsidRDefault="00DF28B6" w:rsidP="008B5D7F">
      <w:pPr>
        <w:spacing w:line="240" w:lineRule="auto"/>
        <w:rPr>
          <w:lang w:val="es-ES"/>
        </w:rPr>
      </w:pPr>
      <w:r w:rsidRPr="004E10B7">
        <w:rPr>
          <w:lang w:val="es-AR"/>
        </w:rPr>
        <w:t xml:space="preserve">Como han realizado otros </w:t>
      </w:r>
      <w:r w:rsidRPr="004E10B7">
        <w:rPr>
          <w:lang w:val="es-ES"/>
        </w:rPr>
        <w:t xml:space="preserve">autores (Sour, 2008; </w:t>
      </w:r>
      <w:r w:rsidR="00832642" w:rsidRPr="004E10B7">
        <w:rPr>
          <w:lang w:val="es-ES"/>
        </w:rPr>
        <w:t>Díaz</w:t>
      </w:r>
      <w:r w:rsidRPr="004E10B7">
        <w:rPr>
          <w:lang w:val="es-ES"/>
        </w:rPr>
        <w:t>, 2014; entre otros) se propone</w:t>
      </w:r>
      <w:r w:rsidRPr="004E10B7">
        <w:rPr>
          <w:lang w:val="es-AR"/>
        </w:rPr>
        <w:t xml:space="preserve"> a continuación</w:t>
      </w:r>
      <w:r w:rsidRPr="004E10B7">
        <w:rPr>
          <w:lang w:val="es-ES"/>
        </w:rPr>
        <w:t xml:space="preserve"> una aproximación al esfuerzo fiscal a través de un análisis econométrico de datos de panel. Se propone el trabajo con datos de panel porque presenta ventajas varias frente al análisis de series de tiempo y datos de corte transversal, de hecho según Baltagi (2001), citado por Sour (2008), el análisis con datos de panel </w:t>
      </w:r>
      <w:r w:rsidRPr="004E10B7">
        <w:rPr>
          <w:i/>
          <w:lang w:val="es-ES"/>
        </w:rPr>
        <w:t>“mejora las posibilidades de estimar coeficientes sin sesgo y de ajustar la dinámica del cambio al incluir heterogeneidad entre los gobiernos locales y el cambio en el tiempo”</w:t>
      </w:r>
      <w:r w:rsidRPr="004E10B7">
        <w:rPr>
          <w:lang w:val="es-ES"/>
        </w:rPr>
        <w:t>.</w:t>
      </w:r>
    </w:p>
    <w:p w14:paraId="17955E32" w14:textId="4ADF85C7" w:rsidR="00DF28B6" w:rsidRPr="004E10B7" w:rsidRDefault="00DF28B6" w:rsidP="008B5D7F">
      <w:pPr>
        <w:spacing w:line="240" w:lineRule="auto"/>
        <w:rPr>
          <w:lang w:val="es-ES"/>
        </w:rPr>
      </w:pPr>
      <w:r w:rsidRPr="004E10B7">
        <w:rPr>
          <w:lang w:val="es-ES"/>
        </w:rPr>
        <w:t>Teniendo en cuenta que el present</w:t>
      </w:r>
      <w:r w:rsidR="00903BDD">
        <w:rPr>
          <w:lang w:val="es-ES"/>
        </w:rPr>
        <w:t>e</w:t>
      </w:r>
      <w:r w:rsidRPr="004E10B7">
        <w:rPr>
          <w:lang w:val="es-ES"/>
        </w:rPr>
        <w:t xml:space="preserve"> trabajo busca avanzar en el análisis del esfuerzo fiscal de las provincias argentinas, y que la disponibilidad de datos homogéneos y de largos periodos de tiempo es limitado, como se mencionó precedentemente, resulta de interés trabajar con un modelo de estimación econométrica que pe</w:t>
      </w:r>
      <w:r w:rsidR="00903BDD">
        <w:rPr>
          <w:lang w:val="es-ES"/>
        </w:rPr>
        <w:t>rmita realizar estimaciones sin</w:t>
      </w:r>
      <w:r w:rsidRPr="004E10B7">
        <w:rPr>
          <w:lang w:val="es-ES"/>
        </w:rPr>
        <w:t xml:space="preserve"> necesidad de incluir como variables regresoras algunos aspectos propios de cada provincia que resulta difícil, sino imposible, </w:t>
      </w:r>
      <w:r w:rsidRPr="004E10B7">
        <w:rPr>
          <w:lang w:val="es-ES"/>
        </w:rPr>
        <w:lastRenderedPageBreak/>
        <w:t>reflejar en variables, como puede ser la idiosincrasia de la población que habita en cada una provincia.</w:t>
      </w:r>
    </w:p>
    <w:p w14:paraId="584B6533" w14:textId="403229B2" w:rsidR="00DF28B6" w:rsidRPr="004E10B7" w:rsidRDefault="00DF28B6" w:rsidP="008B5D7F">
      <w:pPr>
        <w:spacing w:line="240" w:lineRule="auto"/>
        <w:rPr>
          <w:lang w:val="es-ES"/>
        </w:rPr>
      </w:pPr>
      <w:r w:rsidRPr="004E10B7">
        <w:rPr>
          <w:lang w:val="es-ES"/>
        </w:rPr>
        <w:t xml:space="preserve">Dada esta situación se presenta como opción lógica de estimación el trabajo con un modelo within de efectos fijos, el cual permite capturar las características estables en el tiempo de cada provincia o individuo, sin necesidad de incluir variables que las representen en la estimación. Esto disminuye el riesgo de cometer sesgo de estimación por variables omitidas en este caso, como también trabajar con más grados de libertad al necesitar estimar menos coeficientes que si se las incluyera. Otros autores (Sour, 2008; </w:t>
      </w:r>
      <w:r w:rsidR="00832642" w:rsidRPr="004E10B7">
        <w:rPr>
          <w:lang w:val="es-ES"/>
        </w:rPr>
        <w:t>Díaz</w:t>
      </w:r>
      <w:r w:rsidRPr="004E10B7">
        <w:rPr>
          <w:lang w:val="es-ES"/>
        </w:rPr>
        <w:t>, 2014, entre otros) también han elegido realizar la estimación por efectos fijos para sus trabajos de esfuerzo fiscal.</w:t>
      </w:r>
    </w:p>
    <w:p w14:paraId="5F7648D7" w14:textId="77777777" w:rsidR="00DF28B6" w:rsidRPr="004E10B7" w:rsidRDefault="00DF28B6" w:rsidP="008B5D7F">
      <w:pPr>
        <w:spacing w:line="240" w:lineRule="auto"/>
        <w:rPr>
          <w:lang w:val="es-AR"/>
        </w:rPr>
      </w:pPr>
      <w:r w:rsidRPr="004E10B7">
        <w:rPr>
          <w:lang w:val="es-AR"/>
        </w:rPr>
        <w:t>Desde el punto de vista econométrico el trabajo con estimadores de efectos fijos se presenta como más robusto que efectos aleatorios (Woolridge, 2002), ya que si bien los estimadores de efectos fijos son menos eficientes al explorar sólo la variación within, el estimador de efectos aleatorios puede ser inconsistente en el caso de que no se cumplan los supuestos, que resultan más estrictos en el caso de efectos aleatorios. En este sentido, se opta una estimación de efectos fijos más robusta y con estimadores más consistentes, a pesar de que los estimadores resultan menos eficientes y no permita incluir como variables regresoras aquellas que no varíen en el tiempo.</w:t>
      </w:r>
    </w:p>
    <w:p w14:paraId="57D54ED9" w14:textId="77777777" w:rsidR="00DF28B6" w:rsidRPr="004E10B7" w:rsidRDefault="00DF28B6" w:rsidP="008B5D7F">
      <w:pPr>
        <w:spacing w:line="240" w:lineRule="auto"/>
        <w:rPr>
          <w:lang w:val="es-ES"/>
        </w:rPr>
      </w:pPr>
      <w:r w:rsidRPr="004E10B7">
        <w:rPr>
          <w:lang w:val="es-ES"/>
        </w:rPr>
        <w:t>Según Woolridge (2002) cuando el interés reside únicamente en las variables explicativas que varían en el tiempo, es conveniente no tener que preocuparse por modelar factores constantes en el tiempo sobre los cuáles no se tiene interés directo.</w:t>
      </w:r>
    </w:p>
    <w:p w14:paraId="2D3EC681" w14:textId="77777777" w:rsidR="00DF28B6" w:rsidRPr="004E10B7" w:rsidRDefault="00DF28B6" w:rsidP="008B5D7F">
      <w:pPr>
        <w:spacing w:line="240" w:lineRule="auto"/>
        <w:rPr>
          <w:lang w:val="es-AR"/>
        </w:rPr>
      </w:pPr>
      <w:r w:rsidRPr="004E10B7">
        <w:rPr>
          <w:lang w:val="es-AR"/>
        </w:rPr>
        <w:t>Como se ha mencionado varias veces en el desarrollo de este trabajo, se enfrentó la complejidad de encontrar datos homogéneos para las provincias argentinas en un periodo de tiempo considerable, y por tanto los análisis desarrollados se han encontrado condicionados por la disponibilidad de datos.</w:t>
      </w:r>
    </w:p>
    <w:p w14:paraId="5C521D60" w14:textId="77777777" w:rsidR="00DF28B6" w:rsidRPr="004E10B7" w:rsidRDefault="00DF28B6" w:rsidP="008B5D7F">
      <w:pPr>
        <w:spacing w:line="240" w:lineRule="auto"/>
        <w:rPr>
          <w:lang w:val="es-AR"/>
        </w:rPr>
      </w:pPr>
      <w:r w:rsidRPr="004E10B7">
        <w:rPr>
          <w:lang w:val="es-AR"/>
        </w:rPr>
        <w:t>El modelo econométrico elegido para analizar el esfuerzo fiscal de las provincias argentinas desde 1993 a 2014 se presenta a continuación:</w:t>
      </w:r>
    </w:p>
    <w:p w14:paraId="553DD5E6" w14:textId="77777777" w:rsidR="00DF28B6" w:rsidRPr="004E10B7" w:rsidRDefault="00EE621F" w:rsidP="008B5D7F">
      <w:pPr>
        <w:spacing w:line="240" w:lineRule="auto"/>
        <w:rPr>
          <w:lang w:val="es-AR"/>
        </w:rPr>
      </w:pPr>
      <m:oMathPara>
        <m:oMath>
          <m:func>
            <m:funcPr>
              <m:ctrlPr>
                <w:rPr>
                  <w:rFonts w:ascii="Cambria Math" w:hAnsi="Cambria Math"/>
                  <w:lang w:val="es-AR"/>
                </w:rPr>
              </m:ctrlPr>
            </m:funcPr>
            <m:fName>
              <m:r>
                <m:rPr>
                  <m:sty m:val="p"/>
                </m:rPr>
                <w:rPr>
                  <w:rFonts w:ascii="Cambria Math" w:hAnsi="Cambria Math"/>
                  <w:lang w:val="es-AR"/>
                </w:rPr>
                <m:t>ln</m:t>
              </m:r>
            </m:fName>
            <m:e>
              <m:sSub>
                <m:sSubPr>
                  <m:ctrlPr>
                    <w:rPr>
                      <w:rFonts w:ascii="Cambria Math" w:hAnsi="Cambria Math"/>
                      <w:lang w:val="es-AR"/>
                    </w:rPr>
                  </m:ctrlPr>
                </m:sSubPr>
                <m:e>
                  <m:d>
                    <m:dPr>
                      <m:ctrlPr>
                        <w:rPr>
                          <w:rFonts w:ascii="Cambria Math" w:hAnsi="Cambria Math"/>
                          <w:lang w:val="es-AR"/>
                        </w:rPr>
                      </m:ctrlPr>
                    </m:dPr>
                    <m:e>
                      <m:r>
                        <w:rPr>
                          <w:rFonts w:ascii="Cambria Math" w:hAnsi="Cambria Math"/>
                          <w:lang w:val="es-AR"/>
                        </w:rPr>
                        <m:t>IBcap</m:t>
                      </m:r>
                    </m:e>
                  </m:d>
                </m:e>
                <m:sub>
                  <m:r>
                    <w:rPr>
                      <w:rFonts w:ascii="Cambria Math" w:hAnsi="Cambria Math"/>
                      <w:lang w:val="es-AR"/>
                    </w:rPr>
                    <m:t>it</m:t>
                  </m:r>
                </m:sub>
              </m:sSub>
            </m:e>
          </m:func>
          <m:r>
            <w:rPr>
              <w:rFonts w:ascii="Cambria Math" w:hAnsi="Cambria Math"/>
              <w:lang w:val="es-AR"/>
            </w:rPr>
            <m:t>=</m:t>
          </m:r>
          <m:sSub>
            <m:sSubPr>
              <m:ctrlPr>
                <w:rPr>
                  <w:rFonts w:ascii="Cambria Math" w:hAnsi="Cambria Math"/>
                  <w:i/>
                  <w:lang w:val="es-AR"/>
                </w:rPr>
              </m:ctrlPr>
            </m:sSubPr>
            <m:e>
              <m:r>
                <w:rPr>
                  <w:rFonts w:ascii="Cambria Math" w:hAnsi="Cambria Math"/>
                  <w:lang w:val="es-AR"/>
                </w:rPr>
                <m:t>β</m:t>
              </m:r>
            </m:e>
            <m:sub>
              <m:r>
                <w:rPr>
                  <w:rFonts w:ascii="Cambria Math" w:hAnsi="Cambria Math"/>
                  <w:lang w:val="es-AR"/>
                </w:rPr>
                <m:t>0</m:t>
              </m:r>
            </m:sub>
          </m:sSub>
          <m:r>
            <w:rPr>
              <w:rFonts w:ascii="Cambria Math" w:hAnsi="Cambria Math"/>
              <w:lang w:val="es-AR"/>
            </w:rPr>
            <m:t>+</m:t>
          </m:r>
          <m:sSub>
            <m:sSubPr>
              <m:ctrlPr>
                <w:rPr>
                  <w:rFonts w:ascii="Cambria Math" w:hAnsi="Cambria Math"/>
                  <w:i/>
                  <w:lang w:val="es-AR"/>
                </w:rPr>
              </m:ctrlPr>
            </m:sSubPr>
            <m:e>
              <m:r>
                <w:rPr>
                  <w:rFonts w:ascii="Cambria Math" w:hAnsi="Cambria Math"/>
                  <w:lang w:val="es-AR"/>
                </w:rPr>
                <m:t>β</m:t>
              </m:r>
            </m:e>
            <m:sub>
              <m:r>
                <w:rPr>
                  <w:rFonts w:ascii="Cambria Math" w:hAnsi="Cambria Math"/>
                  <w:lang w:val="es-AR"/>
                </w:rPr>
                <m:t>1</m:t>
              </m:r>
            </m:sub>
          </m:sSub>
          <m:sSub>
            <m:sSubPr>
              <m:ctrlPr>
                <w:rPr>
                  <w:rFonts w:ascii="Cambria Math" w:hAnsi="Cambria Math"/>
                  <w:lang w:val="es-AR"/>
                </w:rPr>
              </m:ctrlPr>
            </m:sSubPr>
            <m:e>
              <m:r>
                <m:rPr>
                  <m:sty m:val="p"/>
                </m:rPr>
                <w:rPr>
                  <w:rFonts w:ascii="Cambria Math" w:hAnsi="Cambria Math"/>
                  <w:lang w:val="es-AR"/>
                </w:rPr>
                <m:t>ln⁡</m:t>
              </m:r>
              <m:r>
                <w:rPr>
                  <w:rFonts w:ascii="Cambria Math" w:hAnsi="Cambria Math"/>
                  <w:lang w:val="es-AR"/>
                </w:rPr>
                <m:t>(PBGcap)</m:t>
              </m:r>
            </m:e>
            <m:sub>
              <m:r>
                <w:rPr>
                  <w:rFonts w:ascii="Cambria Math" w:hAnsi="Cambria Math"/>
                  <w:lang w:val="es-AR"/>
                </w:rPr>
                <m:t>it</m:t>
              </m:r>
            </m:sub>
          </m:sSub>
          <m:r>
            <w:rPr>
              <w:rFonts w:ascii="Cambria Math" w:hAnsi="Cambria Math"/>
              <w:lang w:val="es-AR"/>
            </w:rPr>
            <m:t>+</m:t>
          </m:r>
          <m:sSub>
            <m:sSubPr>
              <m:ctrlPr>
                <w:rPr>
                  <w:rFonts w:ascii="Cambria Math" w:hAnsi="Cambria Math"/>
                  <w:i/>
                  <w:lang w:val="es-AR"/>
                </w:rPr>
              </m:ctrlPr>
            </m:sSubPr>
            <m:e>
              <m:r>
                <w:rPr>
                  <w:rFonts w:ascii="Cambria Math" w:hAnsi="Cambria Math"/>
                  <w:lang w:val="es-AR"/>
                </w:rPr>
                <m:t>β</m:t>
              </m:r>
            </m:e>
            <m:sub>
              <m:r>
                <w:rPr>
                  <w:rFonts w:ascii="Cambria Math" w:hAnsi="Cambria Math"/>
                  <w:lang w:val="es-AR"/>
                </w:rPr>
                <m:t>2</m:t>
              </m:r>
            </m:sub>
          </m:sSub>
          <m:sSub>
            <m:sSubPr>
              <m:ctrlPr>
                <w:rPr>
                  <w:rFonts w:ascii="Cambria Math" w:hAnsi="Cambria Math"/>
                  <w:lang w:val="es-AR"/>
                </w:rPr>
              </m:ctrlPr>
            </m:sSubPr>
            <m:e>
              <m:r>
                <m:rPr>
                  <m:sty m:val="p"/>
                </m:rPr>
                <w:rPr>
                  <w:rFonts w:ascii="Cambria Math" w:hAnsi="Cambria Math"/>
                  <w:lang w:val="es-AR"/>
                </w:rPr>
                <m:t>ln⁡</m:t>
              </m:r>
              <m:r>
                <w:rPr>
                  <w:rFonts w:ascii="Cambria Math" w:hAnsi="Cambria Math"/>
                  <w:lang w:val="es-AR"/>
                </w:rPr>
                <m:t>(TN)</m:t>
              </m:r>
            </m:e>
            <m:sub>
              <m:r>
                <w:rPr>
                  <w:rFonts w:ascii="Cambria Math" w:hAnsi="Cambria Math"/>
                  <w:lang w:val="es-AR"/>
                </w:rPr>
                <m:t>it</m:t>
              </m:r>
            </m:sub>
          </m:sSub>
          <m:r>
            <w:rPr>
              <w:rFonts w:ascii="Cambria Math" w:hAnsi="Cambria Math"/>
              <w:lang w:val="es-AR"/>
            </w:rPr>
            <m:t>+</m:t>
          </m:r>
          <m:sSub>
            <m:sSubPr>
              <m:ctrlPr>
                <w:rPr>
                  <w:rFonts w:ascii="Cambria Math" w:hAnsi="Cambria Math"/>
                  <w:i/>
                  <w:lang w:val="es-AR"/>
                </w:rPr>
              </m:ctrlPr>
            </m:sSubPr>
            <m:e>
              <m:r>
                <w:rPr>
                  <w:rFonts w:ascii="Cambria Math" w:hAnsi="Cambria Math"/>
                  <w:lang w:val="es-AR"/>
                </w:rPr>
                <m:t>β</m:t>
              </m:r>
            </m:e>
            <m:sub>
              <m:r>
                <w:rPr>
                  <w:rFonts w:ascii="Cambria Math" w:hAnsi="Cambria Math"/>
                  <w:lang w:val="es-AR"/>
                </w:rPr>
                <m:t>3</m:t>
              </m:r>
            </m:sub>
          </m:sSub>
          <m:r>
            <w:rPr>
              <w:rFonts w:ascii="Cambria Math" w:hAnsi="Cambria Math"/>
              <w:lang w:val="es-AR"/>
            </w:rPr>
            <m:t>FFS+</m:t>
          </m:r>
          <m:sSub>
            <m:sSubPr>
              <m:ctrlPr>
                <w:rPr>
                  <w:rFonts w:ascii="Cambria Math" w:hAnsi="Cambria Math"/>
                  <w:i/>
                  <w:lang w:val="es-AR"/>
                </w:rPr>
              </m:ctrlPr>
            </m:sSubPr>
            <m:e>
              <m:r>
                <w:rPr>
                  <w:rFonts w:ascii="Cambria Math" w:hAnsi="Cambria Math"/>
                  <w:lang w:val="es-AR"/>
                </w:rPr>
                <m:t>β</m:t>
              </m:r>
            </m:e>
            <m:sub>
              <m:r>
                <w:rPr>
                  <w:rFonts w:ascii="Cambria Math" w:hAnsi="Cambria Math"/>
                  <w:lang w:val="es-AR"/>
                </w:rPr>
                <m:t>4</m:t>
              </m:r>
            </m:sub>
          </m:sSub>
          <m:r>
            <m:rPr>
              <m:sty m:val="p"/>
            </m:rPr>
            <w:rPr>
              <w:rFonts w:ascii="Cambria Math" w:hAnsi="Cambria Math"/>
              <w:lang w:val="es-AR"/>
            </w:rPr>
            <m:t>D02</m:t>
          </m:r>
          <m:r>
            <w:rPr>
              <w:rFonts w:ascii="Cambria Math" w:hAnsi="Cambria Math"/>
              <w:lang w:val="es-AR"/>
            </w:rPr>
            <m:t>+</m:t>
          </m:r>
          <m:sSub>
            <m:sSubPr>
              <m:ctrlPr>
                <w:rPr>
                  <w:rFonts w:ascii="Cambria Math" w:hAnsi="Cambria Math"/>
                  <w:i/>
                  <w:lang w:val="es-AR"/>
                </w:rPr>
              </m:ctrlPr>
            </m:sSubPr>
            <m:e>
              <m:r>
                <w:rPr>
                  <w:rFonts w:ascii="Cambria Math" w:hAnsi="Cambria Math"/>
                  <w:lang w:val="es-AR"/>
                </w:rPr>
                <m:t>μ</m:t>
              </m:r>
            </m:e>
            <m:sub>
              <m:r>
                <w:rPr>
                  <w:rFonts w:ascii="Cambria Math" w:hAnsi="Cambria Math"/>
                  <w:lang w:val="es-AR"/>
                </w:rPr>
                <m:t>i</m:t>
              </m:r>
            </m:sub>
          </m:sSub>
          <m:r>
            <w:rPr>
              <w:rFonts w:ascii="Cambria Math" w:hAnsi="Cambria Math"/>
              <w:lang w:val="es-AR"/>
            </w:rPr>
            <m:t>+</m:t>
          </m:r>
          <m:sSub>
            <m:sSubPr>
              <m:ctrlPr>
                <w:rPr>
                  <w:rFonts w:ascii="Cambria Math" w:hAnsi="Cambria Math"/>
                  <w:i/>
                  <w:lang w:val="es-AR"/>
                </w:rPr>
              </m:ctrlPr>
            </m:sSubPr>
            <m:e>
              <m:r>
                <w:rPr>
                  <w:rFonts w:ascii="Cambria Math" w:hAnsi="Cambria Math"/>
                  <w:lang w:val="es-AR"/>
                </w:rPr>
                <m:t>ε</m:t>
              </m:r>
            </m:e>
            <m:sub>
              <m:r>
                <w:rPr>
                  <w:rFonts w:ascii="Cambria Math" w:hAnsi="Cambria Math"/>
                  <w:lang w:val="es-AR"/>
                </w:rPr>
                <m:t>it</m:t>
              </m:r>
            </m:sub>
          </m:sSub>
        </m:oMath>
      </m:oMathPara>
    </w:p>
    <w:p w14:paraId="4043B338" w14:textId="77777777" w:rsidR="00DF28B6" w:rsidRPr="004E10B7" w:rsidRDefault="00DF28B6" w:rsidP="008B5D7F">
      <w:pPr>
        <w:spacing w:line="240" w:lineRule="auto"/>
        <w:rPr>
          <w:lang w:val="es-AR"/>
        </w:rPr>
      </w:pPr>
      <w:r w:rsidRPr="004E10B7">
        <w:rPr>
          <w:lang w:val="es-AR"/>
        </w:rPr>
        <w:t>Donde:</w:t>
      </w:r>
    </w:p>
    <w:p w14:paraId="003F3CF2" w14:textId="77777777" w:rsidR="00DF28B6" w:rsidRPr="004E10B7" w:rsidRDefault="00EE621F" w:rsidP="008B5D7F">
      <w:pPr>
        <w:pStyle w:val="Prrafodelista"/>
        <w:numPr>
          <w:ilvl w:val="0"/>
          <w:numId w:val="3"/>
        </w:numPr>
        <w:spacing w:line="240" w:lineRule="auto"/>
        <w:rPr>
          <w:lang w:val="es-AR"/>
        </w:rPr>
      </w:pPr>
      <m:oMath>
        <m:func>
          <m:funcPr>
            <m:ctrlPr>
              <w:rPr>
                <w:rFonts w:ascii="Cambria Math" w:hAnsi="Cambria Math"/>
                <w:lang w:val="es-AR"/>
              </w:rPr>
            </m:ctrlPr>
          </m:funcPr>
          <m:fName>
            <m:r>
              <m:rPr>
                <m:sty m:val="p"/>
              </m:rPr>
              <w:rPr>
                <w:rFonts w:ascii="Cambria Math" w:hAnsi="Cambria Math"/>
                <w:lang w:val="es-AR"/>
              </w:rPr>
              <m:t>ln</m:t>
            </m:r>
          </m:fName>
          <m:e>
            <m:sSub>
              <m:sSubPr>
                <m:ctrlPr>
                  <w:rPr>
                    <w:rFonts w:ascii="Cambria Math" w:hAnsi="Cambria Math"/>
                    <w:lang w:val="es-AR"/>
                  </w:rPr>
                </m:ctrlPr>
              </m:sSubPr>
              <m:e>
                <m:d>
                  <m:dPr>
                    <m:ctrlPr>
                      <w:rPr>
                        <w:rFonts w:ascii="Cambria Math" w:hAnsi="Cambria Math"/>
                        <w:lang w:val="es-AR"/>
                      </w:rPr>
                    </m:ctrlPr>
                  </m:dPr>
                  <m:e>
                    <m:r>
                      <w:rPr>
                        <w:rFonts w:ascii="Cambria Math" w:hAnsi="Cambria Math"/>
                        <w:lang w:val="es-AR"/>
                      </w:rPr>
                      <m:t>IBcap</m:t>
                    </m:r>
                  </m:e>
                </m:d>
              </m:e>
              <m:sub>
                <m:r>
                  <w:rPr>
                    <w:rFonts w:ascii="Cambria Math" w:hAnsi="Cambria Math"/>
                    <w:lang w:val="es-AR"/>
                  </w:rPr>
                  <m:t>it</m:t>
                </m:r>
              </m:sub>
            </m:sSub>
          </m:e>
        </m:func>
      </m:oMath>
      <w:r w:rsidR="00DF28B6" w:rsidRPr="004E10B7">
        <w:rPr>
          <w:lang w:val="es-AR"/>
        </w:rPr>
        <w:t xml:space="preserve"> es el logaritmo natural de los ingresos brutos per cápita de la provincia i en el periodo t;</w:t>
      </w:r>
    </w:p>
    <w:p w14:paraId="1511BBFA" w14:textId="77777777" w:rsidR="00DF28B6" w:rsidRPr="004E10B7" w:rsidRDefault="00EE621F" w:rsidP="008B5D7F">
      <w:pPr>
        <w:pStyle w:val="Prrafodelista"/>
        <w:numPr>
          <w:ilvl w:val="0"/>
          <w:numId w:val="3"/>
        </w:numPr>
        <w:spacing w:line="240" w:lineRule="auto"/>
        <w:rPr>
          <w:lang w:val="es-AR"/>
        </w:rPr>
      </w:pPr>
      <m:oMath>
        <m:sSub>
          <m:sSubPr>
            <m:ctrlPr>
              <w:rPr>
                <w:rFonts w:ascii="Cambria Math" w:hAnsi="Cambria Math"/>
                <w:i/>
                <w:lang w:val="es-AR"/>
              </w:rPr>
            </m:ctrlPr>
          </m:sSubPr>
          <m:e>
            <m:r>
              <w:rPr>
                <w:rFonts w:ascii="Cambria Math" w:hAnsi="Cambria Math"/>
                <w:lang w:val="es-AR"/>
              </w:rPr>
              <m:t>β</m:t>
            </m:r>
          </m:e>
          <m:sub>
            <m:r>
              <w:rPr>
                <w:rFonts w:ascii="Cambria Math" w:hAnsi="Cambria Math"/>
                <w:lang w:val="es-AR"/>
              </w:rPr>
              <m:t>0</m:t>
            </m:r>
          </m:sub>
        </m:sSub>
      </m:oMath>
      <w:r w:rsidR="00DF28B6" w:rsidRPr="004E10B7">
        <w:rPr>
          <w:lang w:val="es-AR"/>
        </w:rPr>
        <w:t xml:space="preserve"> es la constante;</w:t>
      </w:r>
    </w:p>
    <w:p w14:paraId="646511CE" w14:textId="77777777" w:rsidR="00DF28B6" w:rsidRPr="004E10B7" w:rsidRDefault="00EE621F" w:rsidP="008B5D7F">
      <w:pPr>
        <w:pStyle w:val="Prrafodelista"/>
        <w:numPr>
          <w:ilvl w:val="0"/>
          <w:numId w:val="3"/>
        </w:numPr>
        <w:spacing w:line="240" w:lineRule="auto"/>
        <w:rPr>
          <w:lang w:val="es-AR"/>
        </w:rPr>
      </w:pPr>
      <m:oMath>
        <m:sSub>
          <m:sSubPr>
            <m:ctrlPr>
              <w:rPr>
                <w:rFonts w:ascii="Cambria Math" w:hAnsi="Cambria Math"/>
                <w:lang w:val="es-AR"/>
              </w:rPr>
            </m:ctrlPr>
          </m:sSubPr>
          <m:e>
            <m:r>
              <m:rPr>
                <m:sty m:val="p"/>
              </m:rPr>
              <w:rPr>
                <w:rFonts w:ascii="Cambria Math" w:hAnsi="Cambria Math"/>
                <w:lang w:val="es-AR"/>
              </w:rPr>
              <m:t>ln⁡</m:t>
            </m:r>
            <m:r>
              <w:rPr>
                <w:rFonts w:ascii="Cambria Math" w:hAnsi="Cambria Math"/>
                <w:lang w:val="es-AR"/>
              </w:rPr>
              <m:t>(PBGcap)</m:t>
            </m:r>
          </m:e>
          <m:sub>
            <m:r>
              <w:rPr>
                <w:rFonts w:ascii="Cambria Math" w:hAnsi="Cambria Math"/>
                <w:lang w:val="es-AR"/>
              </w:rPr>
              <m:t>it</m:t>
            </m:r>
          </m:sub>
        </m:sSub>
      </m:oMath>
      <w:r w:rsidR="00DF28B6" w:rsidRPr="004E10B7">
        <w:rPr>
          <w:lang w:val="es-AR"/>
        </w:rPr>
        <w:t xml:space="preserve"> es el logaritmo natural del PBG per cápita de la provincia i en el periodo t;</w:t>
      </w:r>
    </w:p>
    <w:p w14:paraId="1468E596" w14:textId="77777777" w:rsidR="00DF28B6" w:rsidRPr="004E10B7" w:rsidRDefault="00EE621F" w:rsidP="008B5D7F">
      <w:pPr>
        <w:pStyle w:val="Prrafodelista"/>
        <w:numPr>
          <w:ilvl w:val="0"/>
          <w:numId w:val="3"/>
        </w:numPr>
        <w:spacing w:line="240" w:lineRule="auto"/>
        <w:rPr>
          <w:lang w:val="es-AR"/>
        </w:rPr>
      </w:pPr>
      <m:oMath>
        <m:sSub>
          <m:sSubPr>
            <m:ctrlPr>
              <w:rPr>
                <w:rFonts w:ascii="Cambria Math" w:hAnsi="Cambria Math"/>
                <w:lang w:val="es-AR"/>
              </w:rPr>
            </m:ctrlPr>
          </m:sSubPr>
          <m:e>
            <m:r>
              <m:rPr>
                <m:sty m:val="p"/>
              </m:rPr>
              <w:rPr>
                <w:rFonts w:ascii="Cambria Math" w:hAnsi="Cambria Math"/>
                <w:lang w:val="es-AR"/>
              </w:rPr>
              <m:t>ln⁡</m:t>
            </m:r>
            <m:r>
              <w:rPr>
                <w:rFonts w:ascii="Cambria Math" w:hAnsi="Cambria Math"/>
                <w:lang w:val="es-AR"/>
              </w:rPr>
              <m:t>(TN)</m:t>
            </m:r>
          </m:e>
          <m:sub>
            <m:r>
              <w:rPr>
                <w:rFonts w:ascii="Cambria Math" w:hAnsi="Cambria Math"/>
                <w:lang w:val="es-AR"/>
              </w:rPr>
              <m:t>it</m:t>
            </m:r>
          </m:sub>
        </m:sSub>
      </m:oMath>
      <w:r w:rsidR="00DF28B6" w:rsidRPr="004E10B7">
        <w:rPr>
          <w:lang w:val="es-AR"/>
        </w:rPr>
        <w:t>, es el logaritmo de las transferencias nacionales que recibe la provincia i en el periodo t;</w:t>
      </w:r>
    </w:p>
    <w:p w14:paraId="173C57B4" w14:textId="77777777" w:rsidR="00DF28B6" w:rsidRPr="004E10B7" w:rsidRDefault="00DF28B6" w:rsidP="008B5D7F">
      <w:pPr>
        <w:pStyle w:val="Prrafodelista"/>
        <w:numPr>
          <w:ilvl w:val="0"/>
          <w:numId w:val="3"/>
        </w:numPr>
        <w:spacing w:line="240" w:lineRule="auto"/>
        <w:rPr>
          <w:lang w:val="es-AR"/>
        </w:rPr>
      </w:pPr>
      <m:oMath>
        <m:r>
          <w:rPr>
            <w:rFonts w:ascii="Cambria Math" w:hAnsi="Cambria Math"/>
            <w:lang w:val="es-AR"/>
          </w:rPr>
          <m:t>FFS</m:t>
        </m:r>
      </m:oMath>
      <w:r w:rsidRPr="004E10B7">
        <w:rPr>
          <w:i/>
          <w:lang w:val="es-AR"/>
        </w:rPr>
        <w:t xml:space="preserve">, </w:t>
      </w:r>
      <w:r w:rsidRPr="004E10B7">
        <w:rPr>
          <w:lang w:val="es-AR"/>
        </w:rPr>
        <w:t>es una dummy que busca captar el efecto de la creación y operación del Fondo Federal Solidario tomando valor 0 hasta el año 2008, y a partir de 2009 su valor es de 1.</w:t>
      </w:r>
    </w:p>
    <w:p w14:paraId="00FD4E50" w14:textId="77777777" w:rsidR="00DF28B6" w:rsidRPr="004E10B7" w:rsidRDefault="00DF28B6" w:rsidP="008B5D7F">
      <w:pPr>
        <w:pStyle w:val="Prrafodelista"/>
        <w:numPr>
          <w:ilvl w:val="0"/>
          <w:numId w:val="3"/>
        </w:numPr>
        <w:spacing w:line="240" w:lineRule="auto"/>
        <w:rPr>
          <w:lang w:val="es-AR"/>
        </w:rPr>
      </w:pPr>
      <w:r w:rsidRPr="004E10B7">
        <w:rPr>
          <w:i/>
          <w:lang w:val="es-AR"/>
        </w:rPr>
        <w:t>D02,</w:t>
      </w:r>
      <w:r w:rsidRPr="004E10B7">
        <w:rPr>
          <w:lang w:val="es-AR"/>
        </w:rPr>
        <w:t xml:space="preserve"> es una dummy que busca captar el efecto de la crisis del año 2001. Toma valor 1 a partir del año 2002, mientras que los años anteriores tomar valor 0.</w:t>
      </w:r>
    </w:p>
    <w:p w14:paraId="10B21634" w14:textId="77777777" w:rsidR="00DF28B6" w:rsidRPr="004E10B7" w:rsidRDefault="00EE621F" w:rsidP="008B5D7F">
      <w:pPr>
        <w:pStyle w:val="Prrafodelista"/>
        <w:numPr>
          <w:ilvl w:val="0"/>
          <w:numId w:val="3"/>
        </w:numPr>
        <w:spacing w:line="240" w:lineRule="auto"/>
        <w:rPr>
          <w:lang w:val="es-AR"/>
        </w:rPr>
      </w:pPr>
      <m:oMath>
        <m:sSub>
          <m:sSubPr>
            <m:ctrlPr>
              <w:rPr>
                <w:rFonts w:ascii="Cambria Math" w:hAnsi="Cambria Math"/>
                <w:i/>
                <w:lang w:val="es-AR"/>
              </w:rPr>
            </m:ctrlPr>
          </m:sSubPr>
          <m:e>
            <m:r>
              <w:rPr>
                <w:rFonts w:ascii="Cambria Math" w:hAnsi="Cambria Math"/>
                <w:lang w:val="es-AR"/>
              </w:rPr>
              <m:t>μ</m:t>
            </m:r>
          </m:e>
          <m:sub>
            <m:r>
              <w:rPr>
                <w:rFonts w:ascii="Cambria Math" w:hAnsi="Cambria Math"/>
                <w:lang w:val="es-AR"/>
              </w:rPr>
              <m:t>i</m:t>
            </m:r>
          </m:sub>
        </m:sSub>
      </m:oMath>
      <w:r w:rsidR="00DF28B6" w:rsidRPr="004E10B7">
        <w:rPr>
          <w:lang w:val="es-AR"/>
        </w:rPr>
        <w:t>, es el efecto específico de la provincia i.</w:t>
      </w:r>
    </w:p>
    <w:p w14:paraId="1B0A72C8" w14:textId="77777777" w:rsidR="00DF28B6" w:rsidRPr="004E10B7" w:rsidRDefault="00EE621F" w:rsidP="008B5D7F">
      <w:pPr>
        <w:pStyle w:val="Prrafodelista"/>
        <w:numPr>
          <w:ilvl w:val="0"/>
          <w:numId w:val="3"/>
        </w:numPr>
        <w:spacing w:line="240" w:lineRule="auto"/>
        <w:rPr>
          <w:lang w:val="es-AR"/>
        </w:rPr>
      </w:pPr>
      <m:oMath>
        <m:sSub>
          <m:sSubPr>
            <m:ctrlPr>
              <w:rPr>
                <w:rFonts w:ascii="Cambria Math" w:hAnsi="Cambria Math"/>
                <w:i/>
                <w:lang w:val="es-AR"/>
              </w:rPr>
            </m:ctrlPr>
          </m:sSubPr>
          <m:e>
            <m:r>
              <w:rPr>
                <w:rFonts w:ascii="Cambria Math" w:hAnsi="Cambria Math"/>
                <w:lang w:val="es-AR"/>
              </w:rPr>
              <m:t>ε</m:t>
            </m:r>
          </m:e>
          <m:sub>
            <m:r>
              <w:rPr>
                <w:rFonts w:ascii="Cambria Math" w:hAnsi="Cambria Math"/>
                <w:lang w:val="es-AR"/>
              </w:rPr>
              <m:t>it</m:t>
            </m:r>
          </m:sub>
        </m:sSub>
      </m:oMath>
      <w:r w:rsidR="00DF28B6" w:rsidRPr="004E10B7">
        <w:rPr>
          <w:lang w:val="es-AR"/>
        </w:rPr>
        <w:t xml:space="preserve"> es el error aleatorio que satisface los supuestos clásicos</w:t>
      </w:r>
      <w:r w:rsidR="00DF28B6" w:rsidRPr="004E10B7">
        <w:rPr>
          <w:rStyle w:val="Refdenotaalpie"/>
          <w:lang w:val="es-AR"/>
        </w:rPr>
        <w:footnoteReference w:id="8"/>
      </w:r>
      <w:r w:rsidR="00DF28B6" w:rsidRPr="004E10B7">
        <w:rPr>
          <w:lang w:val="es-AR"/>
        </w:rPr>
        <w:t>.</w:t>
      </w:r>
    </w:p>
    <w:p w14:paraId="4D87E2D2" w14:textId="2C2D4B2F" w:rsidR="00DF28B6" w:rsidRPr="004E10B7" w:rsidRDefault="00DF28B6" w:rsidP="008B5D7F">
      <w:pPr>
        <w:spacing w:line="240" w:lineRule="auto"/>
        <w:rPr>
          <w:lang w:val="es-AR"/>
        </w:rPr>
      </w:pPr>
      <w:r w:rsidRPr="004E10B7">
        <w:rPr>
          <w:lang w:val="es-AR"/>
        </w:rPr>
        <w:lastRenderedPageBreak/>
        <w:t>Se considera, como se hizo también en los cálculos anteriores, que la recaudación fiscal representativa para medir el esfuerzo fiscal de las provincias viene dada por la recaudación de ingresos brutos, mencionad</w:t>
      </w:r>
      <w:r w:rsidR="006A7574">
        <w:rPr>
          <w:lang w:val="es-AR"/>
        </w:rPr>
        <w:t>o</w:t>
      </w:r>
      <w:r w:rsidRPr="004E10B7">
        <w:rPr>
          <w:lang w:val="es-AR"/>
        </w:rPr>
        <w:t xml:space="preserve">s en el </w:t>
      </w:r>
      <w:r w:rsidR="006A7574" w:rsidRPr="006A7574">
        <w:rPr>
          <w:lang w:val="es-AR"/>
        </w:rPr>
        <w:t>Capítulo II</w:t>
      </w:r>
      <w:r w:rsidRPr="004E10B7">
        <w:rPr>
          <w:lang w:val="es-AR"/>
        </w:rPr>
        <w:t>. En este caso se presenta como variable dependiente los ingresos brutos per cápita de forma de tener en cuenta el tamaño o población de cada provincia cuando se analiza la recaudación.</w:t>
      </w:r>
    </w:p>
    <w:p w14:paraId="60886123" w14:textId="57A88016" w:rsidR="00DF28B6" w:rsidRPr="004E10B7" w:rsidRDefault="00DF28B6" w:rsidP="008B5D7F">
      <w:pPr>
        <w:spacing w:line="240" w:lineRule="auto"/>
        <w:rPr>
          <w:lang w:val="es-AR"/>
        </w:rPr>
      </w:pPr>
      <w:r w:rsidRPr="004E10B7">
        <w:rPr>
          <w:lang w:val="es-AR"/>
        </w:rPr>
        <w:t>Dentro de las variables explicativas se encuentra el PBG per cápita que, como se mencionó precedentemente, brinda una idea de la capacidad fiscal de cada provincia. Al incorporar esta variable en la regresión “per cápita” también se puede pensar que esta variable está dando una idea del desarrollo económico de cada provincia.</w:t>
      </w:r>
      <w:r w:rsidR="00903BDD">
        <w:rPr>
          <w:lang w:val="es-AR"/>
        </w:rPr>
        <w:t xml:space="preserve"> </w:t>
      </w:r>
      <w:r w:rsidRPr="004E10B7">
        <w:rPr>
          <w:lang w:val="es-AR"/>
        </w:rPr>
        <w:t>También las transferencias nacionales (transferencias automáticas) se presentan como una variable explicativa de la recaudación, considerando que la existencia de las mismas tiene un efecto en el esfuerzo fiscal que realiza cada provincia.</w:t>
      </w:r>
    </w:p>
    <w:p w14:paraId="6B036E21" w14:textId="5C940003" w:rsidR="00DF28B6" w:rsidRPr="004E10B7" w:rsidRDefault="00DF28B6" w:rsidP="008B5D7F">
      <w:pPr>
        <w:spacing w:line="240" w:lineRule="auto"/>
        <w:rPr>
          <w:lang w:val="es-AR"/>
        </w:rPr>
      </w:pPr>
      <w:r w:rsidRPr="004E10B7">
        <w:rPr>
          <w:lang w:val="es-AR"/>
        </w:rPr>
        <w:t>Se incorpora al modelo econométrico elegido dos variable dummy, una que representa el cambio a partir de marzo de 2009 que produjo la creación del Fondo Federal Solidario, transferencia automática que sigue los patrones de distribución de la coparticipación. A través de D02 se busca captar el efecto ocasionado por la crisis de 2001.</w:t>
      </w:r>
    </w:p>
    <w:p w14:paraId="7DA4CFD6" w14:textId="77777777" w:rsidR="00DF28B6" w:rsidRPr="004E10B7" w:rsidRDefault="00DF28B6" w:rsidP="008B5D7F">
      <w:pPr>
        <w:spacing w:line="240" w:lineRule="auto"/>
        <w:rPr>
          <w:lang w:val="es-AR"/>
        </w:rPr>
      </w:pPr>
      <w:r w:rsidRPr="004E10B7">
        <w:rPr>
          <w:lang w:val="es-AR"/>
        </w:rPr>
        <w:t>Previo a la elección del modelo final se analizó la inclusión de distintas variables que en una primera instancia se pensaron podían tener efectos en la recaudación de ingresos brutos provinciales. Estas variables fueron las transferencias no automáticas (discrecionales) y las regalías petrolíferas (crudo y gas natural). Si bien cabría esperar que las provincias con recursos petrolíferos se ven influenciadas en su recaudación por esta razón, en los modelos en los que se planteó su introducción como variables explicativas los coeficientes dieron no significativos y cercanos a cero. El caso de las transferencias no automáticas es distinto. En todos los modelos en los que se las incluyó el coeficiente dio significativo y negativo, aunque pequeño. Se decidió excluir esta variable ya que sólo fue posible conseguir datos para el periodo 1995-2011, y por tanto el análisis propuesto se veía restringido a ese periodo. Esta decisión se tomó considerando que si bien los coeficientes daban significativos eran pequeños y al excluir la variable el modelo en su conjunto seguía siendo significativo.</w:t>
      </w:r>
    </w:p>
    <w:p w14:paraId="34D16941" w14:textId="39B24687" w:rsidR="005D5612" w:rsidRPr="004E10B7" w:rsidRDefault="00FD776F" w:rsidP="008B5D7F">
      <w:pPr>
        <w:pStyle w:val="Ttulo3"/>
        <w:numPr>
          <w:ilvl w:val="2"/>
          <w:numId w:val="34"/>
        </w:numPr>
        <w:ind w:left="0" w:firstLine="0"/>
        <w:rPr>
          <w:lang w:val="es-AR"/>
        </w:rPr>
      </w:pPr>
      <w:bookmarkStart w:id="6" w:name="_Toc491725414"/>
      <w:r>
        <w:rPr>
          <w:lang w:val="es-AR"/>
        </w:rPr>
        <w:t>RESULTADOS</w:t>
      </w:r>
      <w:bookmarkEnd w:id="6"/>
    </w:p>
    <w:p w14:paraId="6DEB59B2" w14:textId="77777777" w:rsidR="00DF28B6" w:rsidRPr="004E10B7" w:rsidRDefault="00DF28B6" w:rsidP="008B5D7F">
      <w:pPr>
        <w:spacing w:line="240" w:lineRule="auto"/>
        <w:rPr>
          <w:highlight w:val="lightGray"/>
          <w:lang w:val="es-AR"/>
        </w:rPr>
      </w:pPr>
      <w:r w:rsidRPr="004E10B7">
        <w:rPr>
          <w:lang w:val="es-AR"/>
        </w:rPr>
        <w:t>El resultado de la regresión es el siguiente:</w:t>
      </w:r>
    </w:p>
    <w:p w14:paraId="78DCEE4F" w14:textId="77777777" w:rsidR="00DF28B6" w:rsidRPr="004E10B7" w:rsidRDefault="00EE621F" w:rsidP="008B5D7F">
      <w:pPr>
        <w:spacing w:line="240" w:lineRule="auto"/>
        <w:rPr>
          <w:lang w:val="es-AR"/>
        </w:rPr>
      </w:pPr>
      <m:oMathPara>
        <m:oMath>
          <m:func>
            <m:funcPr>
              <m:ctrlPr>
                <w:rPr>
                  <w:rFonts w:ascii="Cambria Math" w:hAnsi="Cambria Math"/>
                  <w:lang w:val="es-AR"/>
                </w:rPr>
              </m:ctrlPr>
            </m:funcPr>
            <m:fName>
              <m:r>
                <m:rPr>
                  <m:sty m:val="p"/>
                </m:rPr>
                <w:rPr>
                  <w:rFonts w:ascii="Cambria Math" w:hAnsi="Cambria Math"/>
                  <w:lang w:val="es-AR"/>
                </w:rPr>
                <m:t>ln</m:t>
              </m:r>
            </m:fName>
            <m:e>
              <m:sSub>
                <m:sSubPr>
                  <m:ctrlPr>
                    <w:rPr>
                      <w:rFonts w:ascii="Cambria Math" w:hAnsi="Cambria Math"/>
                      <w:lang w:val="es-AR"/>
                    </w:rPr>
                  </m:ctrlPr>
                </m:sSubPr>
                <m:e>
                  <m:d>
                    <m:dPr>
                      <m:ctrlPr>
                        <w:rPr>
                          <w:rFonts w:ascii="Cambria Math" w:hAnsi="Cambria Math"/>
                          <w:lang w:val="es-AR"/>
                        </w:rPr>
                      </m:ctrlPr>
                    </m:dPr>
                    <m:e>
                      <m:r>
                        <w:rPr>
                          <w:rFonts w:ascii="Cambria Math" w:hAnsi="Cambria Math"/>
                          <w:lang w:val="es-AR"/>
                        </w:rPr>
                        <m:t>IBcap</m:t>
                      </m:r>
                    </m:e>
                  </m:d>
                </m:e>
                <m:sub>
                  <m:r>
                    <w:rPr>
                      <w:rFonts w:ascii="Cambria Math" w:hAnsi="Cambria Math"/>
                      <w:lang w:val="es-AR"/>
                    </w:rPr>
                    <m:t>it</m:t>
                  </m:r>
                </m:sub>
              </m:sSub>
            </m:e>
          </m:func>
          <m:r>
            <w:rPr>
              <w:rFonts w:ascii="Cambria Math" w:hAnsi="Cambria Math"/>
              <w:lang w:val="es-AR"/>
            </w:rPr>
            <m:t>=-12,19+0.593</m:t>
          </m:r>
          <m:sSub>
            <m:sSubPr>
              <m:ctrlPr>
                <w:rPr>
                  <w:rFonts w:ascii="Cambria Math" w:hAnsi="Cambria Math"/>
                  <w:lang w:val="es-AR"/>
                </w:rPr>
              </m:ctrlPr>
            </m:sSubPr>
            <m:e>
              <m:func>
                <m:funcPr>
                  <m:ctrlPr>
                    <w:rPr>
                      <w:rFonts w:ascii="Cambria Math" w:hAnsi="Cambria Math"/>
                      <w:lang w:val="es-AR"/>
                    </w:rPr>
                  </m:ctrlPr>
                </m:funcPr>
                <m:fName>
                  <m:r>
                    <m:rPr>
                      <m:sty m:val="p"/>
                    </m:rPr>
                    <w:rPr>
                      <w:rFonts w:ascii="Cambria Math" w:hAnsi="Cambria Math"/>
                      <w:lang w:val="es-AR"/>
                    </w:rPr>
                    <m:t>ln</m:t>
                  </m:r>
                </m:fName>
                <m:e>
                  <m:d>
                    <m:dPr>
                      <m:ctrlPr>
                        <w:rPr>
                          <w:rFonts w:ascii="Cambria Math" w:hAnsi="Cambria Math"/>
                          <w:i/>
                          <w:lang w:val="es-AR"/>
                        </w:rPr>
                      </m:ctrlPr>
                    </m:dPr>
                    <m:e>
                      <m:r>
                        <w:rPr>
                          <w:rFonts w:ascii="Cambria Math" w:hAnsi="Cambria Math"/>
                          <w:lang w:val="es-AR"/>
                        </w:rPr>
                        <m:t>PBGcap</m:t>
                      </m:r>
                    </m:e>
                  </m:d>
                </m:e>
              </m:func>
            </m:e>
            <m:sub>
              <m:r>
                <w:rPr>
                  <w:rFonts w:ascii="Cambria Math" w:hAnsi="Cambria Math"/>
                  <w:lang w:val="es-AR"/>
                </w:rPr>
                <m:t>it</m:t>
              </m:r>
            </m:sub>
          </m:sSub>
          <m:r>
            <w:rPr>
              <w:rFonts w:ascii="Cambria Math" w:hAnsi="Cambria Math"/>
              <w:lang w:val="es-AR"/>
            </w:rPr>
            <m:t>+0.588</m:t>
          </m:r>
          <m:sSub>
            <m:sSubPr>
              <m:ctrlPr>
                <w:rPr>
                  <w:rFonts w:ascii="Cambria Math" w:hAnsi="Cambria Math"/>
                  <w:lang w:val="es-AR"/>
                </w:rPr>
              </m:ctrlPr>
            </m:sSubPr>
            <m:e>
              <m:func>
                <m:funcPr>
                  <m:ctrlPr>
                    <w:rPr>
                      <w:rFonts w:ascii="Cambria Math" w:hAnsi="Cambria Math"/>
                      <w:lang w:val="es-AR"/>
                    </w:rPr>
                  </m:ctrlPr>
                </m:funcPr>
                <m:fName>
                  <m:r>
                    <m:rPr>
                      <m:sty m:val="p"/>
                    </m:rPr>
                    <w:rPr>
                      <w:rFonts w:ascii="Cambria Math" w:hAnsi="Cambria Math"/>
                      <w:lang w:val="es-AR"/>
                    </w:rPr>
                    <m:t>ln</m:t>
                  </m:r>
                </m:fName>
                <m:e>
                  <m:d>
                    <m:dPr>
                      <m:ctrlPr>
                        <w:rPr>
                          <w:rFonts w:ascii="Cambria Math" w:hAnsi="Cambria Math"/>
                          <w:i/>
                          <w:lang w:val="es-AR"/>
                        </w:rPr>
                      </m:ctrlPr>
                    </m:dPr>
                    <m:e>
                      <m:r>
                        <w:rPr>
                          <w:rFonts w:ascii="Cambria Math" w:hAnsi="Cambria Math"/>
                          <w:lang w:val="es-AR"/>
                        </w:rPr>
                        <m:t>TN</m:t>
                      </m:r>
                    </m:e>
                  </m:d>
                </m:e>
              </m:func>
            </m:e>
            <m:sub>
              <m:r>
                <w:rPr>
                  <w:rFonts w:ascii="Cambria Math" w:hAnsi="Cambria Math"/>
                  <w:lang w:val="es-AR"/>
                </w:rPr>
                <m:t>it</m:t>
              </m:r>
            </m:sub>
          </m:sSub>
          <m:r>
            <w:rPr>
              <w:rFonts w:ascii="Cambria Math" w:hAnsi="Cambria Math"/>
              <w:lang w:val="es-AR"/>
            </w:rPr>
            <m:t>+0.103FFS+0.130</m:t>
          </m:r>
          <m:r>
            <m:rPr>
              <m:sty m:val="p"/>
            </m:rPr>
            <w:rPr>
              <w:rFonts w:ascii="Cambria Math" w:hAnsi="Cambria Math"/>
              <w:lang w:val="es-AR"/>
            </w:rPr>
            <m:t>D02</m:t>
          </m:r>
        </m:oMath>
      </m:oMathPara>
    </w:p>
    <w:p w14:paraId="4EAF3539" w14:textId="77777777" w:rsidR="00DF28B6" w:rsidRPr="004E10B7" w:rsidRDefault="00DF28B6" w:rsidP="008B5D7F">
      <w:pPr>
        <w:spacing w:line="240" w:lineRule="auto"/>
        <w:rPr>
          <w:lang w:val="es-AR"/>
        </w:rPr>
      </w:pPr>
      <w:r w:rsidRPr="004E10B7">
        <w:rPr>
          <w:lang w:val="es-AR"/>
        </w:rPr>
        <w:t>Los coeficientes de todas las variables explicativas son significativos al 5%, y con excepción de la constante, son todos positivos. El PBG per cápita y las transferencias nacionales parecen influir de forma similar en la recaudación de ingresos brutos provinciales.</w:t>
      </w:r>
    </w:p>
    <w:p w14:paraId="3299B488" w14:textId="77777777" w:rsidR="00DF28B6" w:rsidRPr="004E10B7" w:rsidRDefault="00DF28B6" w:rsidP="008B5D7F">
      <w:pPr>
        <w:spacing w:line="240" w:lineRule="auto"/>
        <w:rPr>
          <w:lang w:val="es-AR"/>
        </w:rPr>
      </w:pPr>
      <w:r w:rsidRPr="004E10B7">
        <w:rPr>
          <w:lang w:val="es-AR"/>
        </w:rPr>
        <w:t>El signo positivo del coeficiente que acompaña al PBG per cápita indicaría que el desarrollo de las provincias impacta positivamente en la recaudación, y también que la mayor capacidad fiscal en las provincias impacta positivamente en el esfuerzo fiscal. Por su lado, el coeficiente que acompaña a las transferencias nacionales indicaría que cuando aumentan las transferencias automáticas a las provincias mejora la recaudación de las mismas. Esto puede deberse a que las transferencias automáticas implican la disponibilidad de fondos para ser volcados a la economía local que incentiva la actividad de la provincia, y que con ello la recaudación de ingresos brutos asociados a las distintas actividades. El efecto positivo del Fondo Federal Solidario en la recaudación de ingresos brutos, y dado que son transferencias automáticas también, puede deberse a la misma razón.</w:t>
      </w:r>
    </w:p>
    <w:p w14:paraId="4DAFA3AA" w14:textId="77777777" w:rsidR="00DF28B6" w:rsidRDefault="00DF28B6" w:rsidP="008B5D7F">
      <w:pPr>
        <w:spacing w:line="240" w:lineRule="auto"/>
        <w:rPr>
          <w:lang w:val="es-AR"/>
        </w:rPr>
      </w:pPr>
      <w:r w:rsidRPr="004E10B7">
        <w:rPr>
          <w:lang w:val="es-AR"/>
        </w:rPr>
        <w:lastRenderedPageBreak/>
        <w:t>Por su parte el coeficiente positivo que acompaña a la dummy de la crisis de 2001, indicaría que a partir de la crisis la recaudación provincial de ingresos brutos mejoró, debido, probablemente, a la reactivación de las economías provinciales a partir de la crisis.</w:t>
      </w:r>
    </w:p>
    <w:p w14:paraId="64DC2F32" w14:textId="0EB4B453" w:rsidR="00685542" w:rsidRDefault="00685542" w:rsidP="008B5D7F">
      <w:pPr>
        <w:pStyle w:val="Prrafodelista"/>
        <w:numPr>
          <w:ilvl w:val="0"/>
          <w:numId w:val="4"/>
        </w:numPr>
        <w:spacing w:line="240" w:lineRule="auto"/>
        <w:rPr>
          <w:b/>
          <w:lang w:val="es-AR"/>
        </w:rPr>
      </w:pPr>
      <w:r w:rsidRPr="00E95008">
        <w:rPr>
          <w:b/>
          <w:lang w:val="es-AR"/>
        </w:rPr>
        <w:t>Resultado de regresión econométrica de datos de panel. Modelo within de efectos fijos.</w:t>
      </w:r>
    </w:p>
    <w:tbl>
      <w:tblPr>
        <w:tblW w:w="8620" w:type="dxa"/>
        <w:jc w:val="center"/>
        <w:tblCellMar>
          <w:left w:w="0" w:type="dxa"/>
          <w:right w:w="0" w:type="dxa"/>
        </w:tblCellMar>
        <w:tblLook w:val="0600" w:firstRow="0" w:lastRow="0" w:firstColumn="0" w:lastColumn="0" w:noHBand="1" w:noVBand="1"/>
      </w:tblPr>
      <w:tblGrid>
        <w:gridCol w:w="3980"/>
        <w:gridCol w:w="2320"/>
        <w:gridCol w:w="2320"/>
      </w:tblGrid>
      <w:tr w:rsidR="00DF28B6" w:rsidRPr="00EE621F" w14:paraId="06880BCC" w14:textId="77777777" w:rsidTr="00A96975">
        <w:trPr>
          <w:trHeight w:val="290"/>
          <w:jc w:val="center"/>
        </w:trPr>
        <w:tc>
          <w:tcPr>
            <w:tcW w:w="8620" w:type="dxa"/>
            <w:gridSpan w:val="3"/>
            <w:tcBorders>
              <w:top w:val="single" w:sz="8" w:space="0" w:color="FFFFFF"/>
              <w:left w:val="single" w:sz="8" w:space="0" w:color="FFFFFF"/>
              <w:bottom w:val="single" w:sz="8" w:space="0" w:color="FFFFFF"/>
              <w:right w:val="single" w:sz="8" w:space="0" w:color="FFFFFF"/>
            </w:tcBorders>
            <w:shd w:val="clear" w:color="auto" w:fill="F0F3EE"/>
            <w:tcMar>
              <w:top w:w="15" w:type="dxa"/>
              <w:left w:w="15" w:type="dxa"/>
              <w:bottom w:w="0" w:type="dxa"/>
              <w:right w:w="15" w:type="dxa"/>
            </w:tcMar>
            <w:vAlign w:val="bottom"/>
            <w:hideMark/>
          </w:tcPr>
          <w:p w14:paraId="72857FE3" w14:textId="77777777" w:rsidR="00DF28B6" w:rsidRPr="001163CF" w:rsidRDefault="00DF28B6" w:rsidP="008B5D7F">
            <w:pPr>
              <w:spacing w:after="0" w:line="240" w:lineRule="auto"/>
              <w:ind w:firstLine="0"/>
              <w:jc w:val="center"/>
              <w:textAlignment w:val="bottom"/>
              <w:rPr>
                <w:rFonts w:ascii="Arial" w:eastAsia="Times New Roman" w:hAnsi="Arial" w:cs="Arial"/>
                <w:sz w:val="20"/>
                <w:szCs w:val="20"/>
                <w:lang w:val="es-AR"/>
              </w:rPr>
            </w:pPr>
            <w:r w:rsidRPr="001163CF">
              <w:rPr>
                <w:rFonts w:ascii="Constantia" w:eastAsia="Times New Roman" w:hAnsi="Constantia" w:cs="Arial"/>
                <w:b/>
                <w:bCs/>
                <w:color w:val="000000"/>
                <w:kern w:val="24"/>
                <w:sz w:val="20"/>
                <w:szCs w:val="20"/>
                <w:lang w:val="es-ES"/>
              </w:rPr>
              <w:t>Regresión de Efectos Fijos (within)</w:t>
            </w:r>
          </w:p>
        </w:tc>
      </w:tr>
      <w:tr w:rsidR="00DF28B6" w:rsidRPr="001163CF" w14:paraId="71E5D93D" w14:textId="77777777" w:rsidTr="00A96975">
        <w:trPr>
          <w:trHeight w:val="290"/>
          <w:jc w:val="center"/>
        </w:trPr>
        <w:tc>
          <w:tcPr>
            <w:tcW w:w="3980" w:type="dxa"/>
            <w:tcBorders>
              <w:top w:val="single" w:sz="8" w:space="0" w:color="FFFFFF"/>
              <w:left w:val="single" w:sz="8" w:space="0" w:color="FFFFFF"/>
              <w:bottom w:val="single" w:sz="8" w:space="0" w:color="FFFFFF"/>
              <w:right w:val="single" w:sz="8" w:space="0" w:color="FFFFFF"/>
            </w:tcBorders>
            <w:shd w:val="clear" w:color="auto" w:fill="F0F3EE"/>
            <w:tcMar>
              <w:top w:w="15" w:type="dxa"/>
              <w:left w:w="15" w:type="dxa"/>
              <w:bottom w:w="0" w:type="dxa"/>
              <w:right w:w="15" w:type="dxa"/>
            </w:tcMar>
            <w:vAlign w:val="bottom"/>
            <w:hideMark/>
          </w:tcPr>
          <w:p w14:paraId="2C394CFB" w14:textId="77777777" w:rsidR="00DF28B6" w:rsidRPr="001163CF" w:rsidRDefault="00DF28B6" w:rsidP="008B5D7F">
            <w:pPr>
              <w:spacing w:after="0" w:line="240" w:lineRule="auto"/>
              <w:ind w:firstLine="0"/>
              <w:jc w:val="left"/>
              <w:textAlignment w:val="bottom"/>
              <w:rPr>
                <w:rFonts w:ascii="Arial" w:eastAsia="Times New Roman" w:hAnsi="Arial" w:cs="Arial"/>
                <w:sz w:val="20"/>
                <w:szCs w:val="20"/>
              </w:rPr>
            </w:pPr>
            <w:r w:rsidRPr="001163CF">
              <w:rPr>
                <w:rFonts w:ascii="Constantia" w:eastAsia="Times New Roman" w:hAnsi="Constantia" w:cs="Arial"/>
                <w:color w:val="000000"/>
                <w:kern w:val="24"/>
                <w:sz w:val="20"/>
                <w:szCs w:val="20"/>
              </w:rPr>
              <w:t>Variable de grupo: individuo</w:t>
            </w:r>
          </w:p>
        </w:tc>
        <w:tc>
          <w:tcPr>
            <w:tcW w:w="2320" w:type="dxa"/>
            <w:tcBorders>
              <w:top w:val="single" w:sz="8" w:space="0" w:color="FFFFFF"/>
              <w:left w:val="single" w:sz="8" w:space="0" w:color="FFFFFF"/>
              <w:bottom w:val="single" w:sz="8" w:space="0" w:color="FFFFFF"/>
              <w:right w:val="single" w:sz="8" w:space="0" w:color="FFFFFF"/>
            </w:tcBorders>
            <w:shd w:val="clear" w:color="auto" w:fill="F0F3EE"/>
            <w:tcMar>
              <w:top w:w="15" w:type="dxa"/>
              <w:left w:w="15" w:type="dxa"/>
              <w:bottom w:w="0" w:type="dxa"/>
              <w:right w:w="15" w:type="dxa"/>
            </w:tcMar>
            <w:vAlign w:val="bottom"/>
            <w:hideMark/>
          </w:tcPr>
          <w:p w14:paraId="2D4AF1AE" w14:textId="77777777" w:rsidR="00DF28B6" w:rsidRPr="001163CF" w:rsidRDefault="00DF28B6" w:rsidP="008B5D7F">
            <w:pPr>
              <w:spacing w:after="0" w:line="240" w:lineRule="auto"/>
              <w:ind w:firstLine="0"/>
              <w:jc w:val="left"/>
              <w:textAlignment w:val="bottom"/>
              <w:rPr>
                <w:rFonts w:ascii="Arial" w:eastAsia="Times New Roman" w:hAnsi="Arial" w:cs="Arial"/>
                <w:sz w:val="20"/>
                <w:szCs w:val="20"/>
              </w:rPr>
            </w:pPr>
            <w:r w:rsidRPr="001163CF">
              <w:rPr>
                <w:rFonts w:ascii="Constantia" w:eastAsia="Times New Roman" w:hAnsi="Constantia" w:cs="Arial"/>
                <w:color w:val="000000"/>
                <w:kern w:val="24"/>
                <w:sz w:val="20"/>
                <w:szCs w:val="20"/>
              </w:rPr>
              <w:t> </w:t>
            </w:r>
          </w:p>
        </w:tc>
        <w:tc>
          <w:tcPr>
            <w:tcW w:w="2320" w:type="dxa"/>
            <w:tcBorders>
              <w:top w:val="single" w:sz="8" w:space="0" w:color="FFFFFF"/>
              <w:left w:val="single" w:sz="8" w:space="0" w:color="FFFFFF"/>
              <w:bottom w:val="single" w:sz="8" w:space="0" w:color="FFFFFF"/>
              <w:right w:val="single" w:sz="8" w:space="0" w:color="FFFFFF"/>
            </w:tcBorders>
            <w:shd w:val="clear" w:color="auto" w:fill="F0F3EE"/>
            <w:tcMar>
              <w:top w:w="15" w:type="dxa"/>
              <w:left w:w="15" w:type="dxa"/>
              <w:bottom w:w="0" w:type="dxa"/>
              <w:right w:w="15" w:type="dxa"/>
            </w:tcMar>
            <w:vAlign w:val="bottom"/>
            <w:hideMark/>
          </w:tcPr>
          <w:p w14:paraId="2F267867" w14:textId="77777777" w:rsidR="00DF28B6" w:rsidRPr="001163CF" w:rsidRDefault="00DF28B6" w:rsidP="008B5D7F">
            <w:pPr>
              <w:spacing w:after="0" w:line="240" w:lineRule="auto"/>
              <w:ind w:firstLine="0"/>
              <w:jc w:val="left"/>
              <w:textAlignment w:val="bottom"/>
              <w:rPr>
                <w:rFonts w:ascii="Arial" w:eastAsia="Times New Roman" w:hAnsi="Arial" w:cs="Arial"/>
                <w:sz w:val="20"/>
                <w:szCs w:val="20"/>
              </w:rPr>
            </w:pPr>
            <w:r w:rsidRPr="001163CF">
              <w:rPr>
                <w:rFonts w:ascii="Constantia" w:eastAsia="Times New Roman" w:hAnsi="Constantia" w:cs="Arial"/>
                <w:color w:val="000000"/>
                <w:kern w:val="24"/>
                <w:sz w:val="20"/>
                <w:szCs w:val="20"/>
              </w:rPr>
              <w:t> </w:t>
            </w:r>
          </w:p>
        </w:tc>
      </w:tr>
      <w:tr w:rsidR="00DF28B6" w:rsidRPr="001163CF" w14:paraId="3CEF28FD" w14:textId="77777777" w:rsidTr="00A96975">
        <w:trPr>
          <w:trHeight w:val="525"/>
          <w:jc w:val="center"/>
        </w:trPr>
        <w:tc>
          <w:tcPr>
            <w:tcW w:w="3980" w:type="dxa"/>
            <w:tcBorders>
              <w:top w:val="single" w:sz="8" w:space="0" w:color="FFFFFF"/>
              <w:left w:val="single" w:sz="8" w:space="0" w:color="FFFFFF"/>
              <w:bottom w:val="single" w:sz="8" w:space="0" w:color="FFFFFF"/>
              <w:right w:val="single" w:sz="8" w:space="0" w:color="FFFFFF"/>
            </w:tcBorders>
            <w:shd w:val="clear" w:color="auto" w:fill="F0F3EE"/>
            <w:tcMar>
              <w:top w:w="15" w:type="dxa"/>
              <w:left w:w="15" w:type="dxa"/>
              <w:bottom w:w="0" w:type="dxa"/>
              <w:right w:w="15" w:type="dxa"/>
            </w:tcMar>
            <w:vAlign w:val="bottom"/>
            <w:hideMark/>
          </w:tcPr>
          <w:p w14:paraId="19CBE07D" w14:textId="77777777" w:rsidR="00DF28B6" w:rsidRPr="001163CF" w:rsidRDefault="00DF28B6" w:rsidP="008B5D7F">
            <w:pPr>
              <w:spacing w:after="0" w:line="240" w:lineRule="auto"/>
              <w:ind w:firstLine="0"/>
              <w:jc w:val="left"/>
              <w:textAlignment w:val="bottom"/>
              <w:rPr>
                <w:rFonts w:ascii="Arial" w:eastAsia="Times New Roman" w:hAnsi="Arial" w:cs="Arial"/>
                <w:sz w:val="20"/>
                <w:szCs w:val="20"/>
              </w:rPr>
            </w:pPr>
            <w:r w:rsidRPr="001163CF">
              <w:rPr>
                <w:rFonts w:ascii="Constantia" w:eastAsia="Times New Roman" w:hAnsi="Constantia" w:cs="Arial"/>
                <w:color w:val="000000"/>
                <w:kern w:val="24"/>
                <w:sz w:val="20"/>
                <w:szCs w:val="20"/>
              </w:rPr>
              <w:t> </w:t>
            </w:r>
          </w:p>
        </w:tc>
        <w:tc>
          <w:tcPr>
            <w:tcW w:w="2320" w:type="dxa"/>
            <w:tcBorders>
              <w:top w:val="single" w:sz="8" w:space="0" w:color="FFFFFF"/>
              <w:left w:val="single" w:sz="8" w:space="0" w:color="FFFFFF"/>
              <w:bottom w:val="single" w:sz="8" w:space="0" w:color="FFFFFF"/>
              <w:right w:val="single" w:sz="8" w:space="0" w:color="FFFFFF"/>
            </w:tcBorders>
            <w:shd w:val="clear" w:color="auto" w:fill="F0F3EE"/>
            <w:tcMar>
              <w:top w:w="15" w:type="dxa"/>
              <w:left w:w="15" w:type="dxa"/>
              <w:bottom w:w="0" w:type="dxa"/>
              <w:right w:w="15" w:type="dxa"/>
            </w:tcMar>
            <w:vAlign w:val="bottom"/>
            <w:hideMark/>
          </w:tcPr>
          <w:p w14:paraId="3D6FE178" w14:textId="77777777" w:rsidR="00DF28B6" w:rsidRPr="001163CF" w:rsidRDefault="00DF28B6" w:rsidP="008B5D7F">
            <w:pPr>
              <w:spacing w:after="0" w:line="240" w:lineRule="auto"/>
              <w:ind w:firstLine="0"/>
              <w:jc w:val="left"/>
              <w:textAlignment w:val="bottom"/>
              <w:rPr>
                <w:rFonts w:ascii="Arial" w:eastAsia="Times New Roman" w:hAnsi="Arial" w:cs="Arial"/>
                <w:sz w:val="20"/>
                <w:szCs w:val="20"/>
              </w:rPr>
            </w:pPr>
            <w:r w:rsidRPr="001163CF">
              <w:rPr>
                <w:rFonts w:ascii="Constantia" w:eastAsia="Times New Roman" w:hAnsi="Constantia" w:cs="Arial"/>
                <w:color w:val="000000"/>
                <w:kern w:val="24"/>
                <w:sz w:val="20"/>
                <w:szCs w:val="20"/>
              </w:rPr>
              <w:t> </w:t>
            </w:r>
          </w:p>
        </w:tc>
        <w:tc>
          <w:tcPr>
            <w:tcW w:w="2320" w:type="dxa"/>
            <w:tcBorders>
              <w:top w:val="single" w:sz="8" w:space="0" w:color="FFFFFF"/>
              <w:left w:val="single" w:sz="8" w:space="0" w:color="FFFFFF"/>
              <w:bottom w:val="single" w:sz="8" w:space="0" w:color="FFFFFF"/>
              <w:right w:val="single" w:sz="8" w:space="0" w:color="FFFFFF"/>
            </w:tcBorders>
            <w:shd w:val="clear" w:color="auto" w:fill="F0F3EE"/>
            <w:tcMar>
              <w:top w:w="15" w:type="dxa"/>
              <w:left w:w="15" w:type="dxa"/>
              <w:bottom w:w="0" w:type="dxa"/>
              <w:right w:w="15" w:type="dxa"/>
            </w:tcMar>
            <w:vAlign w:val="bottom"/>
            <w:hideMark/>
          </w:tcPr>
          <w:p w14:paraId="08298C11" w14:textId="77777777" w:rsidR="00DF28B6" w:rsidRPr="001163CF" w:rsidRDefault="00DF28B6" w:rsidP="008B5D7F">
            <w:pPr>
              <w:spacing w:after="0" w:line="240" w:lineRule="auto"/>
              <w:ind w:firstLine="0"/>
              <w:jc w:val="left"/>
              <w:textAlignment w:val="bottom"/>
              <w:rPr>
                <w:rFonts w:ascii="Arial" w:eastAsia="Times New Roman" w:hAnsi="Arial" w:cs="Arial"/>
                <w:sz w:val="20"/>
                <w:szCs w:val="20"/>
              </w:rPr>
            </w:pPr>
            <w:r w:rsidRPr="001163CF">
              <w:rPr>
                <w:rFonts w:ascii="Constantia" w:eastAsia="Times New Roman" w:hAnsi="Constantia" w:cs="Arial"/>
                <w:color w:val="000000"/>
                <w:kern w:val="24"/>
                <w:sz w:val="20"/>
                <w:szCs w:val="20"/>
              </w:rPr>
              <w:t>Observaciones= 525</w:t>
            </w:r>
          </w:p>
        </w:tc>
      </w:tr>
      <w:tr w:rsidR="00DF28B6" w:rsidRPr="001163CF" w14:paraId="1FDFD2B9" w14:textId="77777777" w:rsidTr="00A96975">
        <w:trPr>
          <w:trHeight w:val="581"/>
          <w:jc w:val="center"/>
        </w:trPr>
        <w:tc>
          <w:tcPr>
            <w:tcW w:w="3980" w:type="dxa"/>
            <w:tcBorders>
              <w:top w:val="single" w:sz="8" w:space="0" w:color="FFFFFF"/>
              <w:left w:val="single" w:sz="8" w:space="0" w:color="FFFFFF"/>
              <w:bottom w:val="single" w:sz="8" w:space="0" w:color="FFFFFF"/>
              <w:right w:val="single" w:sz="8" w:space="0" w:color="FFFFFF"/>
            </w:tcBorders>
            <w:shd w:val="clear" w:color="auto" w:fill="F0F3EE"/>
            <w:tcMar>
              <w:top w:w="15" w:type="dxa"/>
              <w:left w:w="15" w:type="dxa"/>
              <w:bottom w:w="0" w:type="dxa"/>
              <w:right w:w="15" w:type="dxa"/>
            </w:tcMar>
            <w:vAlign w:val="center"/>
            <w:hideMark/>
          </w:tcPr>
          <w:p w14:paraId="3E045052" w14:textId="77777777" w:rsidR="00DF28B6" w:rsidRPr="001163CF" w:rsidRDefault="00DF28B6" w:rsidP="008B5D7F">
            <w:pPr>
              <w:spacing w:after="0" w:line="240" w:lineRule="auto"/>
              <w:ind w:firstLine="0"/>
              <w:jc w:val="left"/>
              <w:textAlignment w:val="center"/>
              <w:rPr>
                <w:rFonts w:ascii="Arial" w:eastAsia="Times New Roman" w:hAnsi="Arial" w:cs="Arial"/>
                <w:sz w:val="20"/>
                <w:szCs w:val="20"/>
              </w:rPr>
            </w:pPr>
            <w:r w:rsidRPr="001163CF">
              <w:rPr>
                <w:rFonts w:ascii="Constantia" w:eastAsia="Times New Roman" w:hAnsi="Constantia" w:cs="Arial"/>
                <w:color w:val="000000"/>
                <w:kern w:val="24"/>
                <w:sz w:val="20"/>
                <w:szCs w:val="20"/>
              </w:rPr>
              <w:t>R-sq:</w:t>
            </w:r>
          </w:p>
        </w:tc>
        <w:tc>
          <w:tcPr>
            <w:tcW w:w="2320" w:type="dxa"/>
            <w:tcBorders>
              <w:top w:val="single" w:sz="8" w:space="0" w:color="FFFFFF"/>
              <w:left w:val="single" w:sz="8" w:space="0" w:color="FFFFFF"/>
              <w:bottom w:val="single" w:sz="8" w:space="0" w:color="FFFFFF"/>
              <w:right w:val="single" w:sz="8" w:space="0" w:color="FFFFFF"/>
            </w:tcBorders>
            <w:shd w:val="clear" w:color="auto" w:fill="F0F3EE"/>
            <w:tcMar>
              <w:top w:w="15" w:type="dxa"/>
              <w:left w:w="15" w:type="dxa"/>
              <w:bottom w:w="0" w:type="dxa"/>
              <w:right w:w="15" w:type="dxa"/>
            </w:tcMar>
            <w:vAlign w:val="bottom"/>
            <w:hideMark/>
          </w:tcPr>
          <w:p w14:paraId="468A2E88" w14:textId="77777777" w:rsidR="00DF28B6" w:rsidRPr="001163CF" w:rsidRDefault="00DF28B6" w:rsidP="008B5D7F">
            <w:pPr>
              <w:spacing w:after="0" w:line="240" w:lineRule="auto"/>
              <w:ind w:firstLine="0"/>
              <w:jc w:val="left"/>
              <w:textAlignment w:val="bottom"/>
              <w:rPr>
                <w:rFonts w:ascii="Arial" w:eastAsia="Times New Roman" w:hAnsi="Arial" w:cs="Arial"/>
                <w:sz w:val="20"/>
                <w:szCs w:val="20"/>
              </w:rPr>
            </w:pPr>
            <w:r w:rsidRPr="001163CF">
              <w:rPr>
                <w:rFonts w:ascii="Constantia" w:eastAsia="Times New Roman" w:hAnsi="Constantia" w:cs="Arial"/>
                <w:color w:val="000000"/>
                <w:kern w:val="24"/>
                <w:sz w:val="20"/>
                <w:szCs w:val="20"/>
              </w:rPr>
              <w:t> </w:t>
            </w:r>
          </w:p>
        </w:tc>
        <w:tc>
          <w:tcPr>
            <w:tcW w:w="2320" w:type="dxa"/>
            <w:tcBorders>
              <w:top w:val="single" w:sz="8" w:space="0" w:color="FFFFFF"/>
              <w:left w:val="single" w:sz="8" w:space="0" w:color="FFFFFF"/>
              <w:bottom w:val="single" w:sz="8" w:space="0" w:color="FFFFFF"/>
              <w:right w:val="single" w:sz="8" w:space="0" w:color="FFFFFF"/>
            </w:tcBorders>
            <w:shd w:val="clear" w:color="auto" w:fill="F0F3EE"/>
            <w:tcMar>
              <w:top w:w="15" w:type="dxa"/>
              <w:left w:w="15" w:type="dxa"/>
              <w:bottom w:w="0" w:type="dxa"/>
              <w:right w:w="15" w:type="dxa"/>
            </w:tcMar>
            <w:vAlign w:val="bottom"/>
            <w:hideMark/>
          </w:tcPr>
          <w:p w14:paraId="3E2801F4" w14:textId="77777777" w:rsidR="00DF28B6" w:rsidRPr="001163CF" w:rsidRDefault="00DF28B6" w:rsidP="008B5D7F">
            <w:pPr>
              <w:spacing w:after="0" w:line="240" w:lineRule="auto"/>
              <w:ind w:firstLine="0"/>
              <w:jc w:val="left"/>
              <w:textAlignment w:val="bottom"/>
              <w:rPr>
                <w:rFonts w:ascii="Arial" w:eastAsia="Times New Roman" w:hAnsi="Arial" w:cs="Arial"/>
                <w:sz w:val="20"/>
                <w:szCs w:val="20"/>
              </w:rPr>
            </w:pPr>
            <w:r w:rsidRPr="001163CF">
              <w:rPr>
                <w:rFonts w:ascii="Constantia" w:eastAsia="Times New Roman" w:hAnsi="Constantia" w:cs="Arial"/>
                <w:color w:val="000000"/>
                <w:kern w:val="24"/>
                <w:sz w:val="20"/>
                <w:szCs w:val="20"/>
              </w:rPr>
              <w:t>Número de grupos= 24</w:t>
            </w:r>
          </w:p>
        </w:tc>
      </w:tr>
      <w:tr w:rsidR="00DF28B6" w:rsidRPr="001163CF" w14:paraId="4666D89D" w14:textId="77777777" w:rsidTr="00A96975">
        <w:trPr>
          <w:trHeight w:val="290"/>
          <w:jc w:val="center"/>
        </w:trPr>
        <w:tc>
          <w:tcPr>
            <w:tcW w:w="3980" w:type="dxa"/>
            <w:tcBorders>
              <w:top w:val="single" w:sz="8" w:space="0" w:color="FFFFFF"/>
              <w:left w:val="single" w:sz="8" w:space="0" w:color="FFFFFF"/>
              <w:bottom w:val="single" w:sz="8" w:space="0" w:color="FFFFFF"/>
              <w:right w:val="single" w:sz="8" w:space="0" w:color="FFFFFF"/>
            </w:tcBorders>
            <w:shd w:val="clear" w:color="auto" w:fill="F0F3EE"/>
            <w:tcMar>
              <w:top w:w="15" w:type="dxa"/>
              <w:left w:w="15" w:type="dxa"/>
              <w:bottom w:w="0" w:type="dxa"/>
              <w:right w:w="15" w:type="dxa"/>
            </w:tcMar>
            <w:vAlign w:val="bottom"/>
            <w:hideMark/>
          </w:tcPr>
          <w:p w14:paraId="68A3B7F4" w14:textId="77777777" w:rsidR="00DF28B6" w:rsidRPr="001163CF" w:rsidRDefault="00DF28B6" w:rsidP="008B5D7F">
            <w:pPr>
              <w:spacing w:after="0" w:line="240" w:lineRule="auto"/>
              <w:ind w:firstLine="0"/>
              <w:jc w:val="left"/>
              <w:textAlignment w:val="bottom"/>
              <w:rPr>
                <w:rFonts w:ascii="Arial" w:eastAsia="Times New Roman" w:hAnsi="Arial" w:cs="Arial"/>
                <w:sz w:val="20"/>
                <w:szCs w:val="20"/>
              </w:rPr>
            </w:pPr>
            <w:r w:rsidRPr="001163CF">
              <w:rPr>
                <w:rFonts w:ascii="Constantia" w:eastAsia="Times New Roman" w:hAnsi="Constantia" w:cs="Arial"/>
                <w:color w:val="000000"/>
                <w:kern w:val="24"/>
                <w:sz w:val="20"/>
                <w:szCs w:val="20"/>
              </w:rPr>
              <w:t>within= 0.8455</w:t>
            </w:r>
          </w:p>
        </w:tc>
        <w:tc>
          <w:tcPr>
            <w:tcW w:w="2320" w:type="dxa"/>
            <w:tcBorders>
              <w:top w:val="single" w:sz="8" w:space="0" w:color="FFFFFF"/>
              <w:left w:val="single" w:sz="8" w:space="0" w:color="FFFFFF"/>
              <w:bottom w:val="single" w:sz="8" w:space="0" w:color="FFFFFF"/>
              <w:right w:val="single" w:sz="8" w:space="0" w:color="FFFFFF"/>
            </w:tcBorders>
            <w:shd w:val="clear" w:color="auto" w:fill="F0F3EE"/>
            <w:tcMar>
              <w:top w:w="15" w:type="dxa"/>
              <w:left w:w="15" w:type="dxa"/>
              <w:bottom w:w="0" w:type="dxa"/>
              <w:right w:w="15" w:type="dxa"/>
            </w:tcMar>
            <w:vAlign w:val="bottom"/>
            <w:hideMark/>
          </w:tcPr>
          <w:p w14:paraId="6BD5070C" w14:textId="77777777" w:rsidR="00DF28B6" w:rsidRPr="001163CF" w:rsidRDefault="00DF28B6" w:rsidP="008B5D7F">
            <w:pPr>
              <w:spacing w:after="0" w:line="240" w:lineRule="auto"/>
              <w:ind w:firstLine="0"/>
              <w:jc w:val="left"/>
              <w:textAlignment w:val="bottom"/>
              <w:rPr>
                <w:rFonts w:ascii="Arial" w:eastAsia="Times New Roman" w:hAnsi="Arial" w:cs="Arial"/>
                <w:sz w:val="20"/>
                <w:szCs w:val="20"/>
              </w:rPr>
            </w:pPr>
            <w:r w:rsidRPr="001163CF">
              <w:rPr>
                <w:rFonts w:ascii="Constantia" w:eastAsia="Times New Roman" w:hAnsi="Constantia" w:cs="Arial"/>
                <w:color w:val="000000"/>
                <w:kern w:val="24"/>
                <w:sz w:val="20"/>
                <w:szCs w:val="20"/>
              </w:rPr>
              <w:t> </w:t>
            </w:r>
          </w:p>
        </w:tc>
        <w:tc>
          <w:tcPr>
            <w:tcW w:w="2320" w:type="dxa"/>
            <w:tcBorders>
              <w:top w:val="single" w:sz="8" w:space="0" w:color="FFFFFF"/>
              <w:left w:val="single" w:sz="8" w:space="0" w:color="FFFFFF"/>
              <w:bottom w:val="single" w:sz="8" w:space="0" w:color="FFFFFF"/>
              <w:right w:val="single" w:sz="8" w:space="0" w:color="FFFFFF"/>
            </w:tcBorders>
            <w:shd w:val="clear" w:color="auto" w:fill="F0F3EE"/>
            <w:tcMar>
              <w:top w:w="15" w:type="dxa"/>
              <w:left w:w="15" w:type="dxa"/>
              <w:bottom w:w="0" w:type="dxa"/>
              <w:right w:w="15" w:type="dxa"/>
            </w:tcMar>
            <w:vAlign w:val="bottom"/>
            <w:hideMark/>
          </w:tcPr>
          <w:p w14:paraId="667C376A" w14:textId="77777777" w:rsidR="00DF28B6" w:rsidRPr="001163CF" w:rsidRDefault="00DF28B6" w:rsidP="008B5D7F">
            <w:pPr>
              <w:spacing w:after="0" w:line="240" w:lineRule="auto"/>
              <w:ind w:firstLine="0"/>
              <w:jc w:val="left"/>
              <w:textAlignment w:val="bottom"/>
              <w:rPr>
                <w:rFonts w:ascii="Arial" w:eastAsia="Times New Roman" w:hAnsi="Arial" w:cs="Arial"/>
                <w:sz w:val="20"/>
                <w:szCs w:val="20"/>
              </w:rPr>
            </w:pPr>
            <w:r w:rsidRPr="001163CF">
              <w:rPr>
                <w:rFonts w:ascii="Constantia" w:eastAsia="Times New Roman" w:hAnsi="Constantia" w:cs="Arial"/>
                <w:color w:val="000000"/>
                <w:kern w:val="24"/>
                <w:sz w:val="20"/>
                <w:szCs w:val="20"/>
              </w:rPr>
              <w:t> </w:t>
            </w:r>
          </w:p>
        </w:tc>
      </w:tr>
      <w:tr w:rsidR="00DF28B6" w:rsidRPr="001163CF" w14:paraId="5C8D3510" w14:textId="77777777" w:rsidTr="00A96975">
        <w:trPr>
          <w:trHeight w:val="290"/>
          <w:jc w:val="center"/>
        </w:trPr>
        <w:tc>
          <w:tcPr>
            <w:tcW w:w="3980" w:type="dxa"/>
            <w:tcBorders>
              <w:top w:val="single" w:sz="8" w:space="0" w:color="FFFFFF"/>
              <w:left w:val="single" w:sz="8" w:space="0" w:color="FFFFFF"/>
              <w:bottom w:val="single" w:sz="8" w:space="0" w:color="FFFFFF"/>
              <w:right w:val="single" w:sz="8" w:space="0" w:color="FFFFFF"/>
            </w:tcBorders>
            <w:shd w:val="clear" w:color="auto" w:fill="F0F3EE"/>
            <w:tcMar>
              <w:top w:w="15" w:type="dxa"/>
              <w:left w:w="15" w:type="dxa"/>
              <w:bottom w:w="0" w:type="dxa"/>
              <w:right w:w="15" w:type="dxa"/>
            </w:tcMar>
            <w:vAlign w:val="bottom"/>
            <w:hideMark/>
          </w:tcPr>
          <w:p w14:paraId="7290E995" w14:textId="77777777" w:rsidR="00DF28B6" w:rsidRPr="001163CF" w:rsidRDefault="00DF28B6" w:rsidP="008B5D7F">
            <w:pPr>
              <w:spacing w:after="0" w:line="240" w:lineRule="auto"/>
              <w:ind w:firstLine="0"/>
              <w:jc w:val="left"/>
              <w:textAlignment w:val="bottom"/>
              <w:rPr>
                <w:rFonts w:ascii="Arial" w:eastAsia="Times New Roman" w:hAnsi="Arial" w:cs="Arial"/>
                <w:sz w:val="20"/>
                <w:szCs w:val="20"/>
              </w:rPr>
            </w:pPr>
            <w:r w:rsidRPr="001163CF">
              <w:rPr>
                <w:rFonts w:ascii="Constantia" w:eastAsia="Times New Roman" w:hAnsi="Constantia" w:cs="Arial"/>
                <w:color w:val="000000"/>
                <w:kern w:val="24"/>
                <w:sz w:val="20"/>
                <w:szCs w:val="20"/>
              </w:rPr>
              <w:t>between= 0.3097</w:t>
            </w:r>
          </w:p>
        </w:tc>
        <w:tc>
          <w:tcPr>
            <w:tcW w:w="2320" w:type="dxa"/>
            <w:tcBorders>
              <w:top w:val="single" w:sz="8" w:space="0" w:color="FFFFFF"/>
              <w:left w:val="single" w:sz="8" w:space="0" w:color="FFFFFF"/>
              <w:bottom w:val="single" w:sz="8" w:space="0" w:color="FFFFFF"/>
              <w:right w:val="single" w:sz="8" w:space="0" w:color="FFFFFF"/>
            </w:tcBorders>
            <w:shd w:val="clear" w:color="auto" w:fill="F0F3EE"/>
            <w:tcMar>
              <w:top w:w="15" w:type="dxa"/>
              <w:left w:w="15" w:type="dxa"/>
              <w:bottom w:w="0" w:type="dxa"/>
              <w:right w:w="15" w:type="dxa"/>
            </w:tcMar>
            <w:vAlign w:val="bottom"/>
            <w:hideMark/>
          </w:tcPr>
          <w:p w14:paraId="3C5DDE35" w14:textId="77777777" w:rsidR="00DF28B6" w:rsidRPr="001163CF" w:rsidRDefault="00DF28B6" w:rsidP="008B5D7F">
            <w:pPr>
              <w:spacing w:after="0" w:line="240" w:lineRule="auto"/>
              <w:ind w:firstLine="0"/>
              <w:jc w:val="left"/>
              <w:textAlignment w:val="bottom"/>
              <w:rPr>
                <w:rFonts w:ascii="Arial" w:eastAsia="Times New Roman" w:hAnsi="Arial" w:cs="Arial"/>
                <w:sz w:val="20"/>
                <w:szCs w:val="20"/>
              </w:rPr>
            </w:pPr>
            <w:r w:rsidRPr="001163CF">
              <w:rPr>
                <w:rFonts w:ascii="Constantia" w:eastAsia="Times New Roman" w:hAnsi="Constantia" w:cs="Arial"/>
                <w:color w:val="000000"/>
                <w:kern w:val="24"/>
                <w:sz w:val="20"/>
                <w:szCs w:val="20"/>
              </w:rPr>
              <w:t> </w:t>
            </w:r>
          </w:p>
        </w:tc>
        <w:tc>
          <w:tcPr>
            <w:tcW w:w="2320" w:type="dxa"/>
            <w:tcBorders>
              <w:top w:val="single" w:sz="8" w:space="0" w:color="FFFFFF"/>
              <w:left w:val="single" w:sz="8" w:space="0" w:color="FFFFFF"/>
              <w:bottom w:val="single" w:sz="8" w:space="0" w:color="FFFFFF"/>
              <w:right w:val="single" w:sz="8" w:space="0" w:color="FFFFFF"/>
            </w:tcBorders>
            <w:shd w:val="clear" w:color="auto" w:fill="F0F3EE"/>
            <w:tcMar>
              <w:top w:w="15" w:type="dxa"/>
              <w:left w:w="15" w:type="dxa"/>
              <w:bottom w:w="0" w:type="dxa"/>
              <w:right w:w="15" w:type="dxa"/>
            </w:tcMar>
            <w:vAlign w:val="bottom"/>
            <w:hideMark/>
          </w:tcPr>
          <w:p w14:paraId="78227270" w14:textId="77777777" w:rsidR="00DF28B6" w:rsidRPr="001163CF" w:rsidRDefault="00DF28B6" w:rsidP="008B5D7F">
            <w:pPr>
              <w:spacing w:after="0" w:line="240" w:lineRule="auto"/>
              <w:ind w:firstLine="0"/>
              <w:jc w:val="right"/>
              <w:textAlignment w:val="bottom"/>
              <w:rPr>
                <w:rFonts w:ascii="Arial" w:eastAsia="Times New Roman" w:hAnsi="Arial" w:cs="Arial"/>
                <w:sz w:val="20"/>
                <w:szCs w:val="20"/>
              </w:rPr>
            </w:pPr>
            <w:r w:rsidRPr="001163CF">
              <w:rPr>
                <w:rFonts w:ascii="Constantia" w:eastAsia="Times New Roman" w:hAnsi="Constantia" w:cs="Arial"/>
                <w:color w:val="000000"/>
                <w:kern w:val="24"/>
                <w:sz w:val="20"/>
                <w:szCs w:val="20"/>
              </w:rPr>
              <w:t>F(4,23)= 102.58</w:t>
            </w:r>
          </w:p>
        </w:tc>
      </w:tr>
      <w:tr w:rsidR="00DF28B6" w:rsidRPr="001163CF" w14:paraId="6DCCFC89" w14:textId="77777777" w:rsidTr="00A96975">
        <w:trPr>
          <w:trHeight w:val="290"/>
          <w:jc w:val="center"/>
        </w:trPr>
        <w:tc>
          <w:tcPr>
            <w:tcW w:w="3980" w:type="dxa"/>
            <w:tcBorders>
              <w:top w:val="single" w:sz="8" w:space="0" w:color="FFFFFF"/>
              <w:left w:val="single" w:sz="8" w:space="0" w:color="FFFFFF"/>
              <w:bottom w:val="single" w:sz="8" w:space="0" w:color="FFFFFF"/>
              <w:right w:val="single" w:sz="8" w:space="0" w:color="FFFFFF"/>
            </w:tcBorders>
            <w:shd w:val="clear" w:color="auto" w:fill="F0F3EE"/>
            <w:tcMar>
              <w:top w:w="15" w:type="dxa"/>
              <w:left w:w="15" w:type="dxa"/>
              <w:bottom w:w="0" w:type="dxa"/>
              <w:right w:w="15" w:type="dxa"/>
            </w:tcMar>
            <w:vAlign w:val="bottom"/>
            <w:hideMark/>
          </w:tcPr>
          <w:p w14:paraId="303982C0" w14:textId="77777777" w:rsidR="00DF28B6" w:rsidRPr="001163CF" w:rsidRDefault="00DF28B6" w:rsidP="008B5D7F">
            <w:pPr>
              <w:spacing w:after="0" w:line="240" w:lineRule="auto"/>
              <w:ind w:firstLine="0"/>
              <w:jc w:val="left"/>
              <w:textAlignment w:val="bottom"/>
              <w:rPr>
                <w:rFonts w:ascii="Arial" w:eastAsia="Times New Roman" w:hAnsi="Arial" w:cs="Arial"/>
                <w:sz w:val="20"/>
                <w:szCs w:val="20"/>
              </w:rPr>
            </w:pPr>
            <w:r w:rsidRPr="001163CF">
              <w:rPr>
                <w:rFonts w:ascii="Constantia" w:eastAsia="Times New Roman" w:hAnsi="Constantia" w:cs="Arial"/>
                <w:color w:val="000000"/>
                <w:kern w:val="24"/>
                <w:sz w:val="20"/>
                <w:szCs w:val="20"/>
              </w:rPr>
              <w:t>overall= 0.4598</w:t>
            </w:r>
          </w:p>
        </w:tc>
        <w:tc>
          <w:tcPr>
            <w:tcW w:w="2320" w:type="dxa"/>
            <w:tcBorders>
              <w:top w:val="single" w:sz="8" w:space="0" w:color="FFFFFF"/>
              <w:left w:val="single" w:sz="8" w:space="0" w:color="FFFFFF"/>
              <w:bottom w:val="single" w:sz="8" w:space="0" w:color="FFFFFF"/>
              <w:right w:val="single" w:sz="8" w:space="0" w:color="FFFFFF"/>
            </w:tcBorders>
            <w:shd w:val="clear" w:color="auto" w:fill="F0F3EE"/>
            <w:tcMar>
              <w:top w:w="15" w:type="dxa"/>
              <w:left w:w="15" w:type="dxa"/>
              <w:bottom w:w="0" w:type="dxa"/>
              <w:right w:w="15" w:type="dxa"/>
            </w:tcMar>
            <w:vAlign w:val="bottom"/>
            <w:hideMark/>
          </w:tcPr>
          <w:p w14:paraId="2959D4B8" w14:textId="77777777" w:rsidR="00DF28B6" w:rsidRPr="001163CF" w:rsidRDefault="00DF28B6" w:rsidP="008B5D7F">
            <w:pPr>
              <w:spacing w:after="0" w:line="240" w:lineRule="auto"/>
              <w:ind w:firstLine="0"/>
              <w:jc w:val="left"/>
              <w:textAlignment w:val="bottom"/>
              <w:rPr>
                <w:rFonts w:ascii="Arial" w:eastAsia="Times New Roman" w:hAnsi="Arial" w:cs="Arial"/>
                <w:sz w:val="20"/>
                <w:szCs w:val="20"/>
              </w:rPr>
            </w:pPr>
            <w:r w:rsidRPr="001163CF">
              <w:rPr>
                <w:rFonts w:ascii="Constantia" w:eastAsia="Times New Roman" w:hAnsi="Constantia" w:cs="Arial"/>
                <w:color w:val="000000"/>
                <w:kern w:val="24"/>
                <w:sz w:val="20"/>
                <w:szCs w:val="20"/>
              </w:rPr>
              <w:t> </w:t>
            </w:r>
          </w:p>
        </w:tc>
        <w:tc>
          <w:tcPr>
            <w:tcW w:w="2320" w:type="dxa"/>
            <w:tcBorders>
              <w:top w:val="single" w:sz="8" w:space="0" w:color="FFFFFF"/>
              <w:left w:val="single" w:sz="8" w:space="0" w:color="FFFFFF"/>
              <w:bottom w:val="single" w:sz="8" w:space="0" w:color="FFFFFF"/>
              <w:right w:val="single" w:sz="8" w:space="0" w:color="FFFFFF"/>
            </w:tcBorders>
            <w:shd w:val="clear" w:color="auto" w:fill="F0F3EE"/>
            <w:tcMar>
              <w:top w:w="15" w:type="dxa"/>
              <w:left w:w="15" w:type="dxa"/>
              <w:bottom w:w="0" w:type="dxa"/>
              <w:right w:w="15" w:type="dxa"/>
            </w:tcMar>
            <w:vAlign w:val="bottom"/>
            <w:hideMark/>
          </w:tcPr>
          <w:p w14:paraId="76426FEE" w14:textId="77777777" w:rsidR="00DF28B6" w:rsidRPr="001163CF" w:rsidRDefault="00DF28B6" w:rsidP="008B5D7F">
            <w:pPr>
              <w:spacing w:after="0" w:line="240" w:lineRule="auto"/>
              <w:ind w:firstLine="0"/>
              <w:jc w:val="right"/>
              <w:textAlignment w:val="bottom"/>
              <w:rPr>
                <w:rFonts w:ascii="Arial" w:eastAsia="Times New Roman" w:hAnsi="Arial" w:cs="Arial"/>
                <w:sz w:val="20"/>
                <w:szCs w:val="20"/>
              </w:rPr>
            </w:pPr>
            <w:r w:rsidRPr="001163CF">
              <w:rPr>
                <w:rFonts w:ascii="Constantia" w:eastAsia="Times New Roman" w:hAnsi="Constantia" w:cs="Arial"/>
                <w:color w:val="000000"/>
                <w:kern w:val="24"/>
                <w:sz w:val="20"/>
                <w:szCs w:val="20"/>
              </w:rPr>
              <w:t>Prob&gt;F= 0.0000</w:t>
            </w:r>
          </w:p>
        </w:tc>
      </w:tr>
      <w:tr w:rsidR="00DF28B6" w:rsidRPr="001163CF" w14:paraId="43DB77B7" w14:textId="77777777" w:rsidTr="00A96975">
        <w:trPr>
          <w:trHeight w:val="290"/>
          <w:jc w:val="center"/>
        </w:trPr>
        <w:tc>
          <w:tcPr>
            <w:tcW w:w="3980" w:type="dxa"/>
            <w:tcBorders>
              <w:top w:val="single" w:sz="8" w:space="0" w:color="FFFFFF"/>
              <w:left w:val="single" w:sz="8" w:space="0" w:color="FFFFFF"/>
              <w:bottom w:val="single" w:sz="8" w:space="0" w:color="FFFFFF"/>
              <w:right w:val="single" w:sz="8" w:space="0" w:color="FFFFFF"/>
            </w:tcBorders>
            <w:shd w:val="clear" w:color="auto" w:fill="F0F3EE"/>
            <w:tcMar>
              <w:top w:w="15" w:type="dxa"/>
              <w:left w:w="15" w:type="dxa"/>
              <w:bottom w:w="0" w:type="dxa"/>
              <w:right w:w="15" w:type="dxa"/>
            </w:tcMar>
            <w:vAlign w:val="bottom"/>
            <w:hideMark/>
          </w:tcPr>
          <w:p w14:paraId="6C01165E" w14:textId="77777777" w:rsidR="00DF28B6" w:rsidRPr="001163CF" w:rsidRDefault="00DF28B6" w:rsidP="008B5D7F">
            <w:pPr>
              <w:spacing w:after="0" w:line="240" w:lineRule="auto"/>
              <w:ind w:firstLine="0"/>
              <w:jc w:val="left"/>
              <w:textAlignment w:val="bottom"/>
              <w:rPr>
                <w:rFonts w:ascii="Arial" w:eastAsia="Times New Roman" w:hAnsi="Arial" w:cs="Arial"/>
                <w:sz w:val="20"/>
                <w:szCs w:val="20"/>
              </w:rPr>
            </w:pPr>
            <w:r w:rsidRPr="001163CF">
              <w:rPr>
                <w:rFonts w:ascii="Constantia" w:eastAsia="Times New Roman" w:hAnsi="Constantia" w:cs="Arial"/>
                <w:color w:val="000000"/>
                <w:kern w:val="24"/>
                <w:sz w:val="20"/>
                <w:szCs w:val="20"/>
              </w:rPr>
              <w:t> </w:t>
            </w:r>
          </w:p>
        </w:tc>
        <w:tc>
          <w:tcPr>
            <w:tcW w:w="2320" w:type="dxa"/>
            <w:tcBorders>
              <w:top w:val="single" w:sz="8" w:space="0" w:color="FFFFFF"/>
              <w:left w:val="single" w:sz="8" w:space="0" w:color="FFFFFF"/>
              <w:bottom w:val="single" w:sz="8" w:space="0" w:color="FFFFFF"/>
              <w:right w:val="single" w:sz="8" w:space="0" w:color="FFFFFF"/>
            </w:tcBorders>
            <w:shd w:val="clear" w:color="auto" w:fill="F0F3EE"/>
            <w:tcMar>
              <w:top w:w="15" w:type="dxa"/>
              <w:left w:w="15" w:type="dxa"/>
              <w:bottom w:w="0" w:type="dxa"/>
              <w:right w:w="15" w:type="dxa"/>
            </w:tcMar>
            <w:vAlign w:val="bottom"/>
            <w:hideMark/>
          </w:tcPr>
          <w:p w14:paraId="00C40512" w14:textId="77777777" w:rsidR="00DF28B6" w:rsidRPr="001163CF" w:rsidRDefault="00DF28B6" w:rsidP="008B5D7F">
            <w:pPr>
              <w:spacing w:after="0" w:line="240" w:lineRule="auto"/>
              <w:ind w:firstLine="0"/>
              <w:jc w:val="left"/>
              <w:textAlignment w:val="bottom"/>
              <w:rPr>
                <w:rFonts w:ascii="Arial" w:eastAsia="Times New Roman" w:hAnsi="Arial" w:cs="Arial"/>
                <w:sz w:val="20"/>
                <w:szCs w:val="20"/>
              </w:rPr>
            </w:pPr>
            <w:r w:rsidRPr="001163CF">
              <w:rPr>
                <w:rFonts w:ascii="Constantia" w:eastAsia="Times New Roman" w:hAnsi="Constantia" w:cs="Arial"/>
                <w:color w:val="000000"/>
                <w:kern w:val="24"/>
                <w:sz w:val="20"/>
                <w:szCs w:val="20"/>
              </w:rPr>
              <w:t> </w:t>
            </w:r>
          </w:p>
        </w:tc>
        <w:tc>
          <w:tcPr>
            <w:tcW w:w="2320" w:type="dxa"/>
            <w:tcBorders>
              <w:top w:val="single" w:sz="8" w:space="0" w:color="FFFFFF"/>
              <w:left w:val="single" w:sz="8" w:space="0" w:color="FFFFFF"/>
              <w:bottom w:val="single" w:sz="8" w:space="0" w:color="FFFFFF"/>
              <w:right w:val="single" w:sz="8" w:space="0" w:color="FFFFFF"/>
            </w:tcBorders>
            <w:shd w:val="clear" w:color="auto" w:fill="F0F3EE"/>
            <w:tcMar>
              <w:top w:w="15" w:type="dxa"/>
              <w:left w:w="15" w:type="dxa"/>
              <w:bottom w:w="0" w:type="dxa"/>
              <w:right w:w="15" w:type="dxa"/>
            </w:tcMar>
            <w:vAlign w:val="bottom"/>
            <w:hideMark/>
          </w:tcPr>
          <w:p w14:paraId="7B032CD2" w14:textId="77777777" w:rsidR="00DF28B6" w:rsidRPr="001163CF" w:rsidRDefault="00DF28B6" w:rsidP="008B5D7F">
            <w:pPr>
              <w:spacing w:after="0" w:line="240" w:lineRule="auto"/>
              <w:ind w:firstLine="0"/>
              <w:jc w:val="left"/>
              <w:textAlignment w:val="bottom"/>
              <w:rPr>
                <w:rFonts w:ascii="Arial" w:eastAsia="Times New Roman" w:hAnsi="Arial" w:cs="Arial"/>
                <w:sz w:val="20"/>
                <w:szCs w:val="20"/>
              </w:rPr>
            </w:pPr>
            <w:r w:rsidRPr="001163CF">
              <w:rPr>
                <w:rFonts w:ascii="Constantia" w:eastAsia="Times New Roman" w:hAnsi="Constantia" w:cs="Arial"/>
                <w:color w:val="000000"/>
                <w:kern w:val="24"/>
                <w:sz w:val="20"/>
                <w:szCs w:val="20"/>
              </w:rPr>
              <w:t> </w:t>
            </w:r>
          </w:p>
        </w:tc>
      </w:tr>
      <w:tr w:rsidR="00DF28B6" w:rsidRPr="001163CF" w14:paraId="0A0987A9" w14:textId="77777777" w:rsidTr="00A96975">
        <w:trPr>
          <w:trHeight w:val="290"/>
          <w:jc w:val="center"/>
        </w:trPr>
        <w:tc>
          <w:tcPr>
            <w:tcW w:w="3980" w:type="dxa"/>
            <w:tcBorders>
              <w:top w:val="single" w:sz="8" w:space="0" w:color="FFFFFF"/>
              <w:left w:val="single" w:sz="8" w:space="0" w:color="FFFFFF"/>
              <w:bottom w:val="single" w:sz="8" w:space="0" w:color="FFFFFF"/>
              <w:right w:val="single" w:sz="8" w:space="0" w:color="FFFFFF"/>
            </w:tcBorders>
            <w:shd w:val="clear" w:color="auto" w:fill="F0F3EE"/>
            <w:tcMar>
              <w:top w:w="15" w:type="dxa"/>
              <w:left w:w="15" w:type="dxa"/>
              <w:bottom w:w="0" w:type="dxa"/>
              <w:right w:w="15" w:type="dxa"/>
            </w:tcMar>
            <w:vAlign w:val="bottom"/>
            <w:hideMark/>
          </w:tcPr>
          <w:p w14:paraId="558C7D6C" w14:textId="77777777" w:rsidR="00DF28B6" w:rsidRPr="001163CF" w:rsidRDefault="00DF28B6" w:rsidP="008B5D7F">
            <w:pPr>
              <w:spacing w:after="0" w:line="240" w:lineRule="auto"/>
              <w:ind w:firstLine="0"/>
              <w:jc w:val="left"/>
              <w:textAlignment w:val="bottom"/>
              <w:rPr>
                <w:rFonts w:ascii="Arial" w:eastAsia="Times New Roman" w:hAnsi="Arial" w:cs="Arial"/>
                <w:sz w:val="20"/>
                <w:szCs w:val="20"/>
              </w:rPr>
            </w:pPr>
            <w:r w:rsidRPr="001163CF">
              <w:rPr>
                <w:rFonts w:ascii="Constantia" w:eastAsia="Times New Roman" w:hAnsi="Constantia" w:cs="Arial"/>
                <w:b/>
                <w:bCs/>
                <w:color w:val="000000"/>
                <w:kern w:val="24"/>
                <w:sz w:val="20"/>
                <w:szCs w:val="20"/>
              </w:rPr>
              <w:t>VARIABLES</w:t>
            </w:r>
          </w:p>
        </w:tc>
        <w:tc>
          <w:tcPr>
            <w:tcW w:w="2320" w:type="dxa"/>
            <w:tcBorders>
              <w:top w:val="single" w:sz="8" w:space="0" w:color="FFFFFF"/>
              <w:left w:val="single" w:sz="8" w:space="0" w:color="FFFFFF"/>
              <w:bottom w:val="single" w:sz="8" w:space="0" w:color="FFFFFF"/>
              <w:right w:val="single" w:sz="8" w:space="0" w:color="FFFFFF"/>
            </w:tcBorders>
            <w:shd w:val="clear" w:color="auto" w:fill="F0F3EE"/>
            <w:tcMar>
              <w:top w:w="15" w:type="dxa"/>
              <w:left w:w="15" w:type="dxa"/>
              <w:bottom w:w="0" w:type="dxa"/>
              <w:right w:w="15" w:type="dxa"/>
            </w:tcMar>
            <w:vAlign w:val="bottom"/>
            <w:hideMark/>
          </w:tcPr>
          <w:p w14:paraId="09B47F31" w14:textId="77777777" w:rsidR="00DF28B6" w:rsidRPr="001163CF" w:rsidRDefault="00DF28B6" w:rsidP="008B5D7F">
            <w:pPr>
              <w:spacing w:after="0" w:line="240" w:lineRule="auto"/>
              <w:ind w:firstLine="0"/>
              <w:jc w:val="center"/>
              <w:textAlignment w:val="bottom"/>
              <w:rPr>
                <w:rFonts w:ascii="Arial" w:eastAsia="Times New Roman" w:hAnsi="Arial" w:cs="Arial"/>
                <w:sz w:val="20"/>
                <w:szCs w:val="20"/>
              </w:rPr>
            </w:pPr>
            <w:r w:rsidRPr="001163CF">
              <w:rPr>
                <w:rFonts w:ascii="Constantia" w:eastAsia="Times New Roman" w:hAnsi="Constantia" w:cs="Arial"/>
                <w:b/>
                <w:bCs/>
                <w:color w:val="000000"/>
                <w:kern w:val="24"/>
                <w:sz w:val="20"/>
                <w:szCs w:val="20"/>
              </w:rPr>
              <w:t>ln(iibb per cápita)</w:t>
            </w:r>
          </w:p>
        </w:tc>
        <w:tc>
          <w:tcPr>
            <w:tcW w:w="2320" w:type="dxa"/>
            <w:tcBorders>
              <w:top w:val="single" w:sz="8" w:space="0" w:color="FFFFFF"/>
              <w:left w:val="single" w:sz="8" w:space="0" w:color="FFFFFF"/>
              <w:bottom w:val="single" w:sz="8" w:space="0" w:color="FFFFFF"/>
              <w:right w:val="single" w:sz="8" w:space="0" w:color="FFFFFF"/>
            </w:tcBorders>
            <w:shd w:val="clear" w:color="auto" w:fill="F0F3EE"/>
            <w:tcMar>
              <w:top w:w="15" w:type="dxa"/>
              <w:left w:w="15" w:type="dxa"/>
              <w:bottom w:w="0" w:type="dxa"/>
              <w:right w:w="15" w:type="dxa"/>
            </w:tcMar>
            <w:vAlign w:val="bottom"/>
            <w:hideMark/>
          </w:tcPr>
          <w:p w14:paraId="6C801DF1" w14:textId="77777777" w:rsidR="00DF28B6" w:rsidRPr="001163CF" w:rsidRDefault="00DF28B6" w:rsidP="008B5D7F">
            <w:pPr>
              <w:spacing w:after="0" w:line="240" w:lineRule="auto"/>
              <w:ind w:firstLine="0"/>
              <w:jc w:val="left"/>
              <w:textAlignment w:val="bottom"/>
              <w:rPr>
                <w:rFonts w:ascii="Arial" w:eastAsia="Times New Roman" w:hAnsi="Arial" w:cs="Arial"/>
                <w:sz w:val="20"/>
                <w:szCs w:val="20"/>
              </w:rPr>
            </w:pPr>
            <w:r w:rsidRPr="001163CF">
              <w:rPr>
                <w:rFonts w:ascii="Constantia" w:eastAsia="Times New Roman" w:hAnsi="Constantia" w:cs="Arial"/>
                <w:color w:val="000000"/>
                <w:kern w:val="24"/>
                <w:sz w:val="20"/>
                <w:szCs w:val="20"/>
              </w:rPr>
              <w:t> </w:t>
            </w:r>
          </w:p>
        </w:tc>
      </w:tr>
      <w:tr w:rsidR="00DF28B6" w:rsidRPr="001163CF" w14:paraId="462FF722" w14:textId="77777777" w:rsidTr="00A96975">
        <w:trPr>
          <w:trHeight w:val="290"/>
          <w:jc w:val="center"/>
        </w:trPr>
        <w:tc>
          <w:tcPr>
            <w:tcW w:w="3980" w:type="dxa"/>
            <w:tcBorders>
              <w:top w:val="single" w:sz="8" w:space="0" w:color="FFFFFF"/>
              <w:left w:val="single" w:sz="8" w:space="0" w:color="FFFFFF"/>
              <w:bottom w:val="single" w:sz="8" w:space="0" w:color="FFFFFF"/>
              <w:right w:val="single" w:sz="8" w:space="0" w:color="FFFFFF"/>
            </w:tcBorders>
            <w:shd w:val="clear" w:color="auto" w:fill="F0F3EE"/>
            <w:tcMar>
              <w:top w:w="15" w:type="dxa"/>
              <w:left w:w="15" w:type="dxa"/>
              <w:bottom w:w="0" w:type="dxa"/>
              <w:right w:w="15" w:type="dxa"/>
            </w:tcMar>
            <w:vAlign w:val="bottom"/>
            <w:hideMark/>
          </w:tcPr>
          <w:p w14:paraId="2AA62175" w14:textId="77777777" w:rsidR="00DF28B6" w:rsidRPr="001163CF" w:rsidRDefault="00DF28B6" w:rsidP="008B5D7F">
            <w:pPr>
              <w:spacing w:after="0" w:line="240" w:lineRule="auto"/>
              <w:ind w:firstLine="0"/>
              <w:jc w:val="left"/>
              <w:textAlignment w:val="bottom"/>
              <w:rPr>
                <w:rFonts w:ascii="Arial" w:eastAsia="Times New Roman" w:hAnsi="Arial" w:cs="Arial"/>
                <w:sz w:val="20"/>
                <w:szCs w:val="20"/>
              </w:rPr>
            </w:pPr>
            <w:r w:rsidRPr="001163CF">
              <w:rPr>
                <w:rFonts w:ascii="Constantia" w:eastAsia="Times New Roman" w:hAnsi="Constantia" w:cs="Arial"/>
                <w:color w:val="000000"/>
                <w:kern w:val="24"/>
                <w:sz w:val="20"/>
                <w:szCs w:val="20"/>
              </w:rPr>
              <w:t> </w:t>
            </w:r>
          </w:p>
        </w:tc>
        <w:tc>
          <w:tcPr>
            <w:tcW w:w="2320" w:type="dxa"/>
            <w:tcBorders>
              <w:top w:val="single" w:sz="8" w:space="0" w:color="FFFFFF"/>
              <w:left w:val="single" w:sz="8" w:space="0" w:color="FFFFFF"/>
              <w:bottom w:val="single" w:sz="8" w:space="0" w:color="FFFFFF"/>
              <w:right w:val="single" w:sz="8" w:space="0" w:color="FFFFFF"/>
            </w:tcBorders>
            <w:shd w:val="clear" w:color="auto" w:fill="F0F3EE"/>
            <w:tcMar>
              <w:top w:w="15" w:type="dxa"/>
              <w:left w:w="15" w:type="dxa"/>
              <w:bottom w:w="0" w:type="dxa"/>
              <w:right w:w="15" w:type="dxa"/>
            </w:tcMar>
            <w:vAlign w:val="bottom"/>
            <w:hideMark/>
          </w:tcPr>
          <w:p w14:paraId="425E4EC9" w14:textId="77777777" w:rsidR="00DF28B6" w:rsidRPr="001163CF" w:rsidRDefault="00DF28B6" w:rsidP="008B5D7F">
            <w:pPr>
              <w:spacing w:after="0" w:line="240" w:lineRule="auto"/>
              <w:ind w:firstLine="0"/>
              <w:jc w:val="center"/>
              <w:textAlignment w:val="bottom"/>
              <w:rPr>
                <w:rFonts w:ascii="Arial" w:eastAsia="Times New Roman" w:hAnsi="Arial" w:cs="Arial"/>
                <w:sz w:val="20"/>
                <w:szCs w:val="20"/>
              </w:rPr>
            </w:pPr>
            <w:r w:rsidRPr="001163CF">
              <w:rPr>
                <w:rFonts w:ascii="Constantia" w:eastAsia="Times New Roman" w:hAnsi="Constantia" w:cs="Arial"/>
                <w:color w:val="000000"/>
                <w:kern w:val="24"/>
                <w:sz w:val="20"/>
                <w:szCs w:val="20"/>
              </w:rPr>
              <w:t> </w:t>
            </w:r>
          </w:p>
        </w:tc>
        <w:tc>
          <w:tcPr>
            <w:tcW w:w="2320" w:type="dxa"/>
            <w:tcBorders>
              <w:top w:val="single" w:sz="8" w:space="0" w:color="FFFFFF"/>
              <w:left w:val="single" w:sz="8" w:space="0" w:color="FFFFFF"/>
              <w:bottom w:val="single" w:sz="8" w:space="0" w:color="FFFFFF"/>
              <w:right w:val="single" w:sz="8" w:space="0" w:color="FFFFFF"/>
            </w:tcBorders>
            <w:shd w:val="clear" w:color="auto" w:fill="F0F3EE"/>
            <w:tcMar>
              <w:top w:w="15" w:type="dxa"/>
              <w:left w:w="15" w:type="dxa"/>
              <w:bottom w:w="0" w:type="dxa"/>
              <w:right w:w="15" w:type="dxa"/>
            </w:tcMar>
            <w:vAlign w:val="bottom"/>
            <w:hideMark/>
          </w:tcPr>
          <w:p w14:paraId="37014139" w14:textId="77777777" w:rsidR="00DF28B6" w:rsidRPr="001163CF" w:rsidRDefault="00DF28B6" w:rsidP="008B5D7F">
            <w:pPr>
              <w:spacing w:after="0" w:line="240" w:lineRule="auto"/>
              <w:ind w:firstLine="0"/>
              <w:jc w:val="left"/>
              <w:textAlignment w:val="bottom"/>
              <w:rPr>
                <w:rFonts w:ascii="Arial" w:eastAsia="Times New Roman" w:hAnsi="Arial" w:cs="Arial"/>
                <w:sz w:val="20"/>
                <w:szCs w:val="20"/>
              </w:rPr>
            </w:pPr>
            <w:r w:rsidRPr="001163CF">
              <w:rPr>
                <w:rFonts w:ascii="Constantia" w:eastAsia="Times New Roman" w:hAnsi="Constantia" w:cs="Arial"/>
                <w:color w:val="000000"/>
                <w:kern w:val="24"/>
                <w:sz w:val="20"/>
                <w:szCs w:val="20"/>
              </w:rPr>
              <w:t> </w:t>
            </w:r>
          </w:p>
        </w:tc>
      </w:tr>
      <w:tr w:rsidR="00DF28B6" w:rsidRPr="001163CF" w14:paraId="3C4FF5B4" w14:textId="77777777" w:rsidTr="00A96975">
        <w:trPr>
          <w:trHeight w:val="290"/>
          <w:jc w:val="center"/>
        </w:trPr>
        <w:tc>
          <w:tcPr>
            <w:tcW w:w="3980" w:type="dxa"/>
            <w:vMerge w:val="restart"/>
            <w:tcBorders>
              <w:top w:val="single" w:sz="8" w:space="0" w:color="FFFFFF"/>
              <w:left w:val="single" w:sz="8" w:space="0" w:color="FFFFFF"/>
              <w:bottom w:val="single" w:sz="8" w:space="0" w:color="FFFFFF"/>
              <w:right w:val="single" w:sz="8" w:space="0" w:color="FFFFFF"/>
            </w:tcBorders>
            <w:shd w:val="clear" w:color="auto" w:fill="F0F3EE"/>
            <w:tcMar>
              <w:top w:w="15" w:type="dxa"/>
              <w:left w:w="15" w:type="dxa"/>
              <w:bottom w:w="0" w:type="dxa"/>
              <w:right w:w="15" w:type="dxa"/>
            </w:tcMar>
            <w:hideMark/>
          </w:tcPr>
          <w:p w14:paraId="39289B82" w14:textId="77777777" w:rsidR="00DF28B6" w:rsidRPr="001163CF" w:rsidRDefault="00DF28B6" w:rsidP="008B5D7F">
            <w:pPr>
              <w:spacing w:after="0" w:line="240" w:lineRule="auto"/>
              <w:ind w:firstLine="0"/>
              <w:jc w:val="left"/>
              <w:textAlignment w:val="top"/>
              <w:rPr>
                <w:rFonts w:ascii="Arial" w:eastAsia="Times New Roman" w:hAnsi="Arial" w:cs="Arial"/>
                <w:sz w:val="20"/>
                <w:szCs w:val="20"/>
              </w:rPr>
            </w:pPr>
            <w:r w:rsidRPr="001163CF">
              <w:rPr>
                <w:rFonts w:ascii="Constantia" w:eastAsia="Times New Roman" w:hAnsi="Constantia" w:cs="Arial"/>
                <w:color w:val="000000"/>
                <w:kern w:val="24"/>
                <w:sz w:val="20"/>
                <w:szCs w:val="20"/>
              </w:rPr>
              <w:t>ln(pbg per cápita)</w:t>
            </w:r>
          </w:p>
        </w:tc>
        <w:tc>
          <w:tcPr>
            <w:tcW w:w="2320" w:type="dxa"/>
            <w:tcBorders>
              <w:top w:val="single" w:sz="8" w:space="0" w:color="FFFFFF"/>
              <w:left w:val="single" w:sz="8" w:space="0" w:color="FFFFFF"/>
              <w:bottom w:val="single" w:sz="8" w:space="0" w:color="FFFFFF"/>
              <w:right w:val="single" w:sz="8" w:space="0" w:color="FFFFFF"/>
            </w:tcBorders>
            <w:shd w:val="clear" w:color="auto" w:fill="F0F3EE"/>
            <w:tcMar>
              <w:top w:w="15" w:type="dxa"/>
              <w:left w:w="15" w:type="dxa"/>
              <w:bottom w:w="0" w:type="dxa"/>
              <w:right w:w="15" w:type="dxa"/>
            </w:tcMar>
            <w:vAlign w:val="bottom"/>
            <w:hideMark/>
          </w:tcPr>
          <w:p w14:paraId="65E2A0FE" w14:textId="77777777" w:rsidR="00DF28B6" w:rsidRPr="001163CF" w:rsidRDefault="00DF28B6" w:rsidP="008B5D7F">
            <w:pPr>
              <w:spacing w:after="0" w:line="240" w:lineRule="auto"/>
              <w:ind w:firstLine="0"/>
              <w:jc w:val="center"/>
              <w:textAlignment w:val="bottom"/>
              <w:rPr>
                <w:rFonts w:ascii="Arial" w:eastAsia="Times New Roman" w:hAnsi="Arial" w:cs="Arial"/>
                <w:sz w:val="20"/>
                <w:szCs w:val="20"/>
              </w:rPr>
            </w:pPr>
            <w:r w:rsidRPr="001163CF">
              <w:rPr>
                <w:rFonts w:ascii="Constantia" w:eastAsia="Times New Roman" w:hAnsi="Constantia" w:cs="Arial"/>
                <w:color w:val="000000"/>
                <w:kern w:val="24"/>
                <w:sz w:val="20"/>
                <w:szCs w:val="20"/>
              </w:rPr>
              <w:t>0.593**</w:t>
            </w:r>
          </w:p>
        </w:tc>
        <w:tc>
          <w:tcPr>
            <w:tcW w:w="2320" w:type="dxa"/>
            <w:tcBorders>
              <w:top w:val="single" w:sz="8" w:space="0" w:color="FFFFFF"/>
              <w:left w:val="single" w:sz="8" w:space="0" w:color="FFFFFF"/>
              <w:bottom w:val="single" w:sz="8" w:space="0" w:color="FFFFFF"/>
              <w:right w:val="single" w:sz="8" w:space="0" w:color="FFFFFF"/>
            </w:tcBorders>
            <w:shd w:val="clear" w:color="auto" w:fill="F0F3EE"/>
            <w:tcMar>
              <w:top w:w="15" w:type="dxa"/>
              <w:left w:w="15" w:type="dxa"/>
              <w:bottom w:w="0" w:type="dxa"/>
              <w:right w:w="15" w:type="dxa"/>
            </w:tcMar>
            <w:vAlign w:val="bottom"/>
            <w:hideMark/>
          </w:tcPr>
          <w:p w14:paraId="42471726" w14:textId="77777777" w:rsidR="00DF28B6" w:rsidRPr="001163CF" w:rsidRDefault="00DF28B6" w:rsidP="008B5D7F">
            <w:pPr>
              <w:spacing w:after="0" w:line="240" w:lineRule="auto"/>
              <w:ind w:firstLine="0"/>
              <w:jc w:val="left"/>
              <w:textAlignment w:val="bottom"/>
              <w:rPr>
                <w:rFonts w:ascii="Arial" w:eastAsia="Times New Roman" w:hAnsi="Arial" w:cs="Arial"/>
                <w:sz w:val="20"/>
                <w:szCs w:val="20"/>
              </w:rPr>
            </w:pPr>
            <w:r w:rsidRPr="001163CF">
              <w:rPr>
                <w:rFonts w:ascii="Constantia" w:eastAsia="Times New Roman" w:hAnsi="Constantia" w:cs="Arial"/>
                <w:color w:val="000000"/>
                <w:kern w:val="24"/>
                <w:sz w:val="20"/>
                <w:szCs w:val="20"/>
              </w:rPr>
              <w:t> </w:t>
            </w:r>
          </w:p>
        </w:tc>
      </w:tr>
      <w:tr w:rsidR="00DF28B6" w:rsidRPr="001163CF" w14:paraId="56C51792" w14:textId="77777777" w:rsidTr="00A96975">
        <w:trPr>
          <w:trHeight w:val="290"/>
          <w:jc w:val="center"/>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6291DF9E" w14:textId="77777777" w:rsidR="00DF28B6" w:rsidRPr="001163CF" w:rsidRDefault="00DF28B6" w:rsidP="008B5D7F">
            <w:pPr>
              <w:spacing w:after="0" w:line="240" w:lineRule="auto"/>
              <w:ind w:firstLine="0"/>
              <w:jc w:val="left"/>
              <w:rPr>
                <w:rFonts w:ascii="Arial" w:eastAsia="Times New Roman" w:hAnsi="Arial" w:cs="Arial"/>
                <w:sz w:val="20"/>
                <w:szCs w:val="20"/>
              </w:rPr>
            </w:pPr>
          </w:p>
        </w:tc>
        <w:tc>
          <w:tcPr>
            <w:tcW w:w="2320" w:type="dxa"/>
            <w:tcBorders>
              <w:top w:val="single" w:sz="8" w:space="0" w:color="FFFFFF"/>
              <w:left w:val="single" w:sz="8" w:space="0" w:color="FFFFFF"/>
              <w:bottom w:val="single" w:sz="8" w:space="0" w:color="FFFFFF"/>
              <w:right w:val="single" w:sz="8" w:space="0" w:color="FFFFFF"/>
            </w:tcBorders>
            <w:shd w:val="clear" w:color="auto" w:fill="F0F3EE"/>
            <w:tcMar>
              <w:top w:w="15" w:type="dxa"/>
              <w:left w:w="15" w:type="dxa"/>
              <w:bottom w:w="0" w:type="dxa"/>
              <w:right w:w="15" w:type="dxa"/>
            </w:tcMar>
            <w:vAlign w:val="bottom"/>
            <w:hideMark/>
          </w:tcPr>
          <w:p w14:paraId="113C9973" w14:textId="77777777" w:rsidR="00DF28B6" w:rsidRPr="001163CF" w:rsidRDefault="00DF28B6" w:rsidP="008B5D7F">
            <w:pPr>
              <w:spacing w:after="0" w:line="240" w:lineRule="auto"/>
              <w:ind w:firstLine="0"/>
              <w:jc w:val="center"/>
              <w:textAlignment w:val="bottom"/>
              <w:rPr>
                <w:rFonts w:ascii="Arial" w:eastAsia="Times New Roman" w:hAnsi="Arial" w:cs="Arial"/>
                <w:sz w:val="20"/>
                <w:szCs w:val="20"/>
              </w:rPr>
            </w:pPr>
            <w:r w:rsidRPr="001163CF">
              <w:rPr>
                <w:rFonts w:ascii="Constantia" w:eastAsia="Times New Roman" w:hAnsi="Constantia" w:cs="Arial"/>
                <w:color w:val="000000"/>
                <w:kern w:val="24"/>
                <w:sz w:val="20"/>
                <w:szCs w:val="20"/>
              </w:rPr>
              <w:t>(0.237)</w:t>
            </w:r>
          </w:p>
        </w:tc>
        <w:tc>
          <w:tcPr>
            <w:tcW w:w="2320" w:type="dxa"/>
            <w:tcBorders>
              <w:top w:val="single" w:sz="8" w:space="0" w:color="FFFFFF"/>
              <w:left w:val="single" w:sz="8" w:space="0" w:color="FFFFFF"/>
              <w:bottom w:val="single" w:sz="8" w:space="0" w:color="FFFFFF"/>
              <w:right w:val="single" w:sz="8" w:space="0" w:color="FFFFFF"/>
            </w:tcBorders>
            <w:shd w:val="clear" w:color="auto" w:fill="F0F3EE"/>
            <w:tcMar>
              <w:top w:w="15" w:type="dxa"/>
              <w:left w:w="15" w:type="dxa"/>
              <w:bottom w:w="0" w:type="dxa"/>
              <w:right w:w="15" w:type="dxa"/>
            </w:tcMar>
            <w:vAlign w:val="bottom"/>
            <w:hideMark/>
          </w:tcPr>
          <w:p w14:paraId="5CD79D94" w14:textId="77777777" w:rsidR="00DF28B6" w:rsidRPr="001163CF" w:rsidRDefault="00DF28B6" w:rsidP="008B5D7F">
            <w:pPr>
              <w:spacing w:after="0" w:line="240" w:lineRule="auto"/>
              <w:ind w:firstLine="0"/>
              <w:jc w:val="left"/>
              <w:textAlignment w:val="bottom"/>
              <w:rPr>
                <w:rFonts w:ascii="Arial" w:eastAsia="Times New Roman" w:hAnsi="Arial" w:cs="Arial"/>
                <w:sz w:val="20"/>
                <w:szCs w:val="20"/>
              </w:rPr>
            </w:pPr>
            <w:r w:rsidRPr="001163CF">
              <w:rPr>
                <w:rFonts w:ascii="Constantia" w:eastAsia="Times New Roman" w:hAnsi="Constantia" w:cs="Arial"/>
                <w:color w:val="000000"/>
                <w:kern w:val="24"/>
                <w:sz w:val="20"/>
                <w:szCs w:val="20"/>
              </w:rPr>
              <w:t> </w:t>
            </w:r>
          </w:p>
        </w:tc>
      </w:tr>
      <w:tr w:rsidR="00DF28B6" w:rsidRPr="001163CF" w14:paraId="123377A3" w14:textId="77777777" w:rsidTr="00A96975">
        <w:trPr>
          <w:trHeight w:val="290"/>
          <w:jc w:val="center"/>
        </w:trPr>
        <w:tc>
          <w:tcPr>
            <w:tcW w:w="3980" w:type="dxa"/>
            <w:vMerge w:val="restart"/>
            <w:tcBorders>
              <w:top w:val="single" w:sz="8" w:space="0" w:color="FFFFFF"/>
              <w:left w:val="single" w:sz="8" w:space="0" w:color="FFFFFF"/>
              <w:bottom w:val="single" w:sz="8" w:space="0" w:color="FFFFFF"/>
              <w:right w:val="single" w:sz="8" w:space="0" w:color="FFFFFF"/>
            </w:tcBorders>
            <w:shd w:val="clear" w:color="auto" w:fill="F0F3EE"/>
            <w:tcMar>
              <w:top w:w="15" w:type="dxa"/>
              <w:left w:w="15" w:type="dxa"/>
              <w:bottom w:w="0" w:type="dxa"/>
              <w:right w:w="15" w:type="dxa"/>
            </w:tcMar>
            <w:hideMark/>
          </w:tcPr>
          <w:p w14:paraId="62262FF4" w14:textId="77777777" w:rsidR="00DF28B6" w:rsidRPr="001163CF" w:rsidRDefault="00DF28B6" w:rsidP="008B5D7F">
            <w:pPr>
              <w:spacing w:after="0" w:line="240" w:lineRule="auto"/>
              <w:ind w:firstLine="0"/>
              <w:jc w:val="left"/>
              <w:textAlignment w:val="top"/>
              <w:rPr>
                <w:rFonts w:ascii="Arial" w:eastAsia="Times New Roman" w:hAnsi="Arial" w:cs="Arial"/>
                <w:sz w:val="20"/>
                <w:szCs w:val="20"/>
              </w:rPr>
            </w:pPr>
            <w:r w:rsidRPr="001163CF">
              <w:rPr>
                <w:rFonts w:ascii="Constantia" w:eastAsia="Times New Roman" w:hAnsi="Constantia" w:cs="Arial"/>
                <w:color w:val="000000"/>
                <w:kern w:val="24"/>
                <w:sz w:val="20"/>
                <w:szCs w:val="20"/>
              </w:rPr>
              <w:t>ln(transferencias nacionales)</w:t>
            </w:r>
          </w:p>
        </w:tc>
        <w:tc>
          <w:tcPr>
            <w:tcW w:w="2320" w:type="dxa"/>
            <w:tcBorders>
              <w:top w:val="single" w:sz="8" w:space="0" w:color="FFFFFF"/>
              <w:left w:val="single" w:sz="8" w:space="0" w:color="FFFFFF"/>
              <w:bottom w:val="single" w:sz="8" w:space="0" w:color="FFFFFF"/>
              <w:right w:val="single" w:sz="8" w:space="0" w:color="FFFFFF"/>
            </w:tcBorders>
            <w:shd w:val="clear" w:color="auto" w:fill="F0F3EE"/>
            <w:tcMar>
              <w:top w:w="15" w:type="dxa"/>
              <w:left w:w="15" w:type="dxa"/>
              <w:bottom w:w="0" w:type="dxa"/>
              <w:right w:w="15" w:type="dxa"/>
            </w:tcMar>
            <w:vAlign w:val="bottom"/>
            <w:hideMark/>
          </w:tcPr>
          <w:p w14:paraId="6E0A7D67" w14:textId="77777777" w:rsidR="00DF28B6" w:rsidRPr="001163CF" w:rsidRDefault="00DF28B6" w:rsidP="008B5D7F">
            <w:pPr>
              <w:spacing w:after="0" w:line="240" w:lineRule="auto"/>
              <w:ind w:firstLine="0"/>
              <w:jc w:val="center"/>
              <w:textAlignment w:val="bottom"/>
              <w:rPr>
                <w:rFonts w:ascii="Arial" w:eastAsia="Times New Roman" w:hAnsi="Arial" w:cs="Arial"/>
                <w:sz w:val="20"/>
                <w:szCs w:val="20"/>
              </w:rPr>
            </w:pPr>
            <w:r w:rsidRPr="001163CF">
              <w:rPr>
                <w:rFonts w:ascii="Constantia" w:eastAsia="Times New Roman" w:hAnsi="Constantia" w:cs="Arial"/>
                <w:color w:val="000000"/>
                <w:kern w:val="24"/>
                <w:sz w:val="20"/>
                <w:szCs w:val="20"/>
              </w:rPr>
              <w:t>0.588***</w:t>
            </w:r>
          </w:p>
        </w:tc>
        <w:tc>
          <w:tcPr>
            <w:tcW w:w="2320" w:type="dxa"/>
            <w:tcBorders>
              <w:top w:val="single" w:sz="8" w:space="0" w:color="FFFFFF"/>
              <w:left w:val="single" w:sz="8" w:space="0" w:color="FFFFFF"/>
              <w:bottom w:val="single" w:sz="8" w:space="0" w:color="FFFFFF"/>
              <w:right w:val="single" w:sz="8" w:space="0" w:color="FFFFFF"/>
            </w:tcBorders>
            <w:shd w:val="clear" w:color="auto" w:fill="F0F3EE"/>
            <w:tcMar>
              <w:top w:w="15" w:type="dxa"/>
              <w:left w:w="15" w:type="dxa"/>
              <w:bottom w:w="0" w:type="dxa"/>
              <w:right w:w="15" w:type="dxa"/>
            </w:tcMar>
            <w:vAlign w:val="bottom"/>
            <w:hideMark/>
          </w:tcPr>
          <w:p w14:paraId="2379C97D" w14:textId="77777777" w:rsidR="00DF28B6" w:rsidRPr="001163CF" w:rsidRDefault="00DF28B6" w:rsidP="008B5D7F">
            <w:pPr>
              <w:spacing w:after="0" w:line="240" w:lineRule="auto"/>
              <w:ind w:firstLine="0"/>
              <w:jc w:val="left"/>
              <w:textAlignment w:val="bottom"/>
              <w:rPr>
                <w:rFonts w:ascii="Arial" w:eastAsia="Times New Roman" w:hAnsi="Arial" w:cs="Arial"/>
                <w:sz w:val="20"/>
                <w:szCs w:val="20"/>
              </w:rPr>
            </w:pPr>
            <w:r w:rsidRPr="001163CF">
              <w:rPr>
                <w:rFonts w:ascii="Constantia" w:eastAsia="Times New Roman" w:hAnsi="Constantia" w:cs="Arial"/>
                <w:color w:val="000000"/>
                <w:kern w:val="24"/>
                <w:sz w:val="20"/>
                <w:szCs w:val="20"/>
              </w:rPr>
              <w:t> </w:t>
            </w:r>
          </w:p>
        </w:tc>
      </w:tr>
      <w:tr w:rsidR="00DF28B6" w:rsidRPr="001163CF" w14:paraId="31405079" w14:textId="77777777" w:rsidTr="00A96975">
        <w:trPr>
          <w:trHeight w:val="290"/>
          <w:jc w:val="center"/>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5B8156AB" w14:textId="77777777" w:rsidR="00DF28B6" w:rsidRPr="001163CF" w:rsidRDefault="00DF28B6" w:rsidP="008B5D7F">
            <w:pPr>
              <w:spacing w:after="0" w:line="240" w:lineRule="auto"/>
              <w:ind w:firstLine="0"/>
              <w:jc w:val="left"/>
              <w:rPr>
                <w:rFonts w:ascii="Arial" w:eastAsia="Times New Roman" w:hAnsi="Arial" w:cs="Arial"/>
                <w:sz w:val="20"/>
                <w:szCs w:val="20"/>
              </w:rPr>
            </w:pPr>
          </w:p>
        </w:tc>
        <w:tc>
          <w:tcPr>
            <w:tcW w:w="2320" w:type="dxa"/>
            <w:tcBorders>
              <w:top w:val="single" w:sz="8" w:space="0" w:color="FFFFFF"/>
              <w:left w:val="single" w:sz="8" w:space="0" w:color="FFFFFF"/>
              <w:bottom w:val="single" w:sz="8" w:space="0" w:color="FFFFFF"/>
              <w:right w:val="single" w:sz="8" w:space="0" w:color="FFFFFF"/>
            </w:tcBorders>
            <w:shd w:val="clear" w:color="auto" w:fill="F0F3EE"/>
            <w:tcMar>
              <w:top w:w="15" w:type="dxa"/>
              <w:left w:w="15" w:type="dxa"/>
              <w:bottom w:w="0" w:type="dxa"/>
              <w:right w:w="15" w:type="dxa"/>
            </w:tcMar>
            <w:vAlign w:val="bottom"/>
            <w:hideMark/>
          </w:tcPr>
          <w:p w14:paraId="0BE6CFA4" w14:textId="77777777" w:rsidR="00DF28B6" w:rsidRPr="001163CF" w:rsidRDefault="00DF28B6" w:rsidP="008B5D7F">
            <w:pPr>
              <w:spacing w:after="0" w:line="240" w:lineRule="auto"/>
              <w:ind w:firstLine="0"/>
              <w:jc w:val="center"/>
              <w:textAlignment w:val="bottom"/>
              <w:rPr>
                <w:rFonts w:ascii="Arial" w:eastAsia="Times New Roman" w:hAnsi="Arial" w:cs="Arial"/>
                <w:sz w:val="20"/>
                <w:szCs w:val="20"/>
              </w:rPr>
            </w:pPr>
            <w:r w:rsidRPr="001163CF">
              <w:rPr>
                <w:rFonts w:ascii="Constantia" w:eastAsia="Times New Roman" w:hAnsi="Constantia" w:cs="Arial"/>
                <w:color w:val="000000"/>
                <w:kern w:val="24"/>
                <w:sz w:val="20"/>
                <w:szCs w:val="20"/>
              </w:rPr>
              <w:t>(0.127)</w:t>
            </w:r>
          </w:p>
        </w:tc>
        <w:tc>
          <w:tcPr>
            <w:tcW w:w="2320" w:type="dxa"/>
            <w:tcBorders>
              <w:top w:val="single" w:sz="8" w:space="0" w:color="FFFFFF"/>
              <w:left w:val="single" w:sz="8" w:space="0" w:color="FFFFFF"/>
              <w:bottom w:val="single" w:sz="8" w:space="0" w:color="FFFFFF"/>
              <w:right w:val="single" w:sz="8" w:space="0" w:color="FFFFFF"/>
            </w:tcBorders>
            <w:shd w:val="clear" w:color="auto" w:fill="F0F3EE"/>
            <w:tcMar>
              <w:top w:w="15" w:type="dxa"/>
              <w:left w:w="15" w:type="dxa"/>
              <w:bottom w:w="0" w:type="dxa"/>
              <w:right w:w="15" w:type="dxa"/>
            </w:tcMar>
            <w:vAlign w:val="bottom"/>
            <w:hideMark/>
          </w:tcPr>
          <w:p w14:paraId="30B8812C" w14:textId="77777777" w:rsidR="00DF28B6" w:rsidRPr="001163CF" w:rsidRDefault="00DF28B6" w:rsidP="008B5D7F">
            <w:pPr>
              <w:spacing w:after="0" w:line="240" w:lineRule="auto"/>
              <w:ind w:firstLine="0"/>
              <w:jc w:val="left"/>
              <w:textAlignment w:val="bottom"/>
              <w:rPr>
                <w:rFonts w:ascii="Arial" w:eastAsia="Times New Roman" w:hAnsi="Arial" w:cs="Arial"/>
                <w:sz w:val="20"/>
                <w:szCs w:val="20"/>
              </w:rPr>
            </w:pPr>
            <w:r w:rsidRPr="001163CF">
              <w:rPr>
                <w:rFonts w:ascii="Constantia" w:eastAsia="Times New Roman" w:hAnsi="Constantia" w:cs="Arial"/>
                <w:color w:val="000000"/>
                <w:kern w:val="24"/>
                <w:sz w:val="20"/>
                <w:szCs w:val="20"/>
              </w:rPr>
              <w:t> </w:t>
            </w:r>
          </w:p>
        </w:tc>
      </w:tr>
      <w:tr w:rsidR="00DF28B6" w:rsidRPr="001163CF" w14:paraId="533E1014" w14:textId="77777777" w:rsidTr="00A96975">
        <w:trPr>
          <w:trHeight w:val="290"/>
          <w:jc w:val="center"/>
        </w:trPr>
        <w:tc>
          <w:tcPr>
            <w:tcW w:w="3980" w:type="dxa"/>
            <w:vMerge w:val="restart"/>
            <w:tcBorders>
              <w:top w:val="single" w:sz="8" w:space="0" w:color="FFFFFF"/>
              <w:left w:val="single" w:sz="8" w:space="0" w:color="FFFFFF"/>
              <w:bottom w:val="single" w:sz="8" w:space="0" w:color="FFFFFF"/>
              <w:right w:val="single" w:sz="8" w:space="0" w:color="FFFFFF"/>
            </w:tcBorders>
            <w:shd w:val="clear" w:color="auto" w:fill="F0F3EE"/>
            <w:tcMar>
              <w:top w:w="15" w:type="dxa"/>
              <w:left w:w="15" w:type="dxa"/>
              <w:bottom w:w="0" w:type="dxa"/>
              <w:right w:w="15" w:type="dxa"/>
            </w:tcMar>
            <w:hideMark/>
          </w:tcPr>
          <w:p w14:paraId="0B5C037C" w14:textId="77777777" w:rsidR="00DF28B6" w:rsidRPr="001163CF" w:rsidRDefault="00DF28B6" w:rsidP="008B5D7F">
            <w:pPr>
              <w:spacing w:after="0" w:line="240" w:lineRule="auto"/>
              <w:ind w:firstLine="0"/>
              <w:jc w:val="left"/>
              <w:textAlignment w:val="top"/>
              <w:rPr>
                <w:rFonts w:ascii="Arial" w:eastAsia="Times New Roman" w:hAnsi="Arial" w:cs="Arial"/>
                <w:sz w:val="20"/>
                <w:szCs w:val="20"/>
              </w:rPr>
            </w:pPr>
            <w:r w:rsidRPr="001163CF">
              <w:rPr>
                <w:rFonts w:ascii="Constantia" w:eastAsia="Times New Roman" w:hAnsi="Constantia" w:cs="Arial"/>
                <w:color w:val="000000"/>
                <w:kern w:val="24"/>
                <w:sz w:val="20"/>
                <w:szCs w:val="20"/>
              </w:rPr>
              <w:t>dummy fondo federal solidario</w:t>
            </w:r>
          </w:p>
        </w:tc>
        <w:tc>
          <w:tcPr>
            <w:tcW w:w="2320" w:type="dxa"/>
            <w:tcBorders>
              <w:top w:val="single" w:sz="8" w:space="0" w:color="FFFFFF"/>
              <w:left w:val="single" w:sz="8" w:space="0" w:color="FFFFFF"/>
              <w:bottom w:val="single" w:sz="8" w:space="0" w:color="FFFFFF"/>
              <w:right w:val="single" w:sz="8" w:space="0" w:color="FFFFFF"/>
            </w:tcBorders>
            <w:shd w:val="clear" w:color="auto" w:fill="F0F3EE"/>
            <w:tcMar>
              <w:top w:w="15" w:type="dxa"/>
              <w:left w:w="15" w:type="dxa"/>
              <w:bottom w:w="0" w:type="dxa"/>
              <w:right w:w="15" w:type="dxa"/>
            </w:tcMar>
            <w:vAlign w:val="bottom"/>
            <w:hideMark/>
          </w:tcPr>
          <w:p w14:paraId="63FE5122" w14:textId="77777777" w:rsidR="00DF28B6" w:rsidRPr="001163CF" w:rsidRDefault="00DF28B6" w:rsidP="008B5D7F">
            <w:pPr>
              <w:spacing w:after="0" w:line="240" w:lineRule="auto"/>
              <w:ind w:firstLine="0"/>
              <w:jc w:val="center"/>
              <w:textAlignment w:val="bottom"/>
              <w:rPr>
                <w:rFonts w:ascii="Arial" w:eastAsia="Times New Roman" w:hAnsi="Arial" w:cs="Arial"/>
                <w:sz w:val="20"/>
                <w:szCs w:val="20"/>
              </w:rPr>
            </w:pPr>
            <w:r w:rsidRPr="001163CF">
              <w:rPr>
                <w:rFonts w:ascii="Constantia" w:eastAsia="Times New Roman" w:hAnsi="Constantia" w:cs="Arial"/>
                <w:color w:val="000000"/>
                <w:kern w:val="24"/>
                <w:sz w:val="20"/>
                <w:szCs w:val="20"/>
              </w:rPr>
              <w:t>0.103**</w:t>
            </w:r>
          </w:p>
        </w:tc>
        <w:tc>
          <w:tcPr>
            <w:tcW w:w="2320" w:type="dxa"/>
            <w:tcBorders>
              <w:top w:val="single" w:sz="8" w:space="0" w:color="FFFFFF"/>
              <w:left w:val="single" w:sz="8" w:space="0" w:color="FFFFFF"/>
              <w:bottom w:val="single" w:sz="8" w:space="0" w:color="FFFFFF"/>
              <w:right w:val="single" w:sz="8" w:space="0" w:color="FFFFFF"/>
            </w:tcBorders>
            <w:shd w:val="clear" w:color="auto" w:fill="F0F3EE"/>
            <w:tcMar>
              <w:top w:w="15" w:type="dxa"/>
              <w:left w:w="15" w:type="dxa"/>
              <w:bottom w:w="0" w:type="dxa"/>
              <w:right w:w="15" w:type="dxa"/>
            </w:tcMar>
            <w:vAlign w:val="bottom"/>
            <w:hideMark/>
          </w:tcPr>
          <w:p w14:paraId="2E7B822F" w14:textId="77777777" w:rsidR="00DF28B6" w:rsidRPr="001163CF" w:rsidRDefault="00DF28B6" w:rsidP="008B5D7F">
            <w:pPr>
              <w:spacing w:after="0" w:line="240" w:lineRule="auto"/>
              <w:ind w:firstLine="0"/>
              <w:jc w:val="left"/>
              <w:textAlignment w:val="bottom"/>
              <w:rPr>
                <w:rFonts w:ascii="Arial" w:eastAsia="Times New Roman" w:hAnsi="Arial" w:cs="Arial"/>
                <w:sz w:val="20"/>
                <w:szCs w:val="20"/>
              </w:rPr>
            </w:pPr>
            <w:r w:rsidRPr="001163CF">
              <w:rPr>
                <w:rFonts w:ascii="Constantia" w:eastAsia="Times New Roman" w:hAnsi="Constantia" w:cs="Arial"/>
                <w:color w:val="000000"/>
                <w:kern w:val="24"/>
                <w:sz w:val="20"/>
                <w:szCs w:val="20"/>
              </w:rPr>
              <w:t> </w:t>
            </w:r>
          </w:p>
        </w:tc>
      </w:tr>
      <w:tr w:rsidR="00DF28B6" w:rsidRPr="001163CF" w14:paraId="36551EAD" w14:textId="77777777" w:rsidTr="00A96975">
        <w:trPr>
          <w:trHeight w:val="290"/>
          <w:jc w:val="center"/>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0EFBA24A" w14:textId="77777777" w:rsidR="00DF28B6" w:rsidRPr="001163CF" w:rsidRDefault="00DF28B6" w:rsidP="008B5D7F">
            <w:pPr>
              <w:spacing w:after="0" w:line="240" w:lineRule="auto"/>
              <w:ind w:firstLine="0"/>
              <w:jc w:val="left"/>
              <w:rPr>
                <w:rFonts w:ascii="Arial" w:eastAsia="Times New Roman" w:hAnsi="Arial" w:cs="Arial"/>
                <w:sz w:val="20"/>
                <w:szCs w:val="20"/>
              </w:rPr>
            </w:pPr>
          </w:p>
        </w:tc>
        <w:tc>
          <w:tcPr>
            <w:tcW w:w="2320" w:type="dxa"/>
            <w:tcBorders>
              <w:top w:val="single" w:sz="8" w:space="0" w:color="FFFFFF"/>
              <w:left w:val="single" w:sz="8" w:space="0" w:color="FFFFFF"/>
              <w:bottom w:val="single" w:sz="8" w:space="0" w:color="FFFFFF"/>
              <w:right w:val="single" w:sz="8" w:space="0" w:color="FFFFFF"/>
            </w:tcBorders>
            <w:shd w:val="clear" w:color="auto" w:fill="F0F3EE"/>
            <w:tcMar>
              <w:top w:w="15" w:type="dxa"/>
              <w:left w:w="15" w:type="dxa"/>
              <w:bottom w:w="0" w:type="dxa"/>
              <w:right w:w="15" w:type="dxa"/>
            </w:tcMar>
            <w:vAlign w:val="bottom"/>
            <w:hideMark/>
          </w:tcPr>
          <w:p w14:paraId="668DAE3F" w14:textId="77777777" w:rsidR="00DF28B6" w:rsidRPr="001163CF" w:rsidRDefault="00DF28B6" w:rsidP="008B5D7F">
            <w:pPr>
              <w:spacing w:after="0" w:line="240" w:lineRule="auto"/>
              <w:ind w:firstLine="0"/>
              <w:jc w:val="center"/>
              <w:textAlignment w:val="bottom"/>
              <w:rPr>
                <w:rFonts w:ascii="Arial" w:eastAsia="Times New Roman" w:hAnsi="Arial" w:cs="Arial"/>
                <w:sz w:val="20"/>
                <w:szCs w:val="20"/>
              </w:rPr>
            </w:pPr>
            <w:r w:rsidRPr="001163CF">
              <w:rPr>
                <w:rFonts w:ascii="Constantia" w:eastAsia="Times New Roman" w:hAnsi="Constantia" w:cs="Arial"/>
                <w:color w:val="000000"/>
                <w:kern w:val="24"/>
                <w:sz w:val="20"/>
                <w:szCs w:val="20"/>
              </w:rPr>
              <w:t>(0.036)</w:t>
            </w:r>
          </w:p>
        </w:tc>
        <w:tc>
          <w:tcPr>
            <w:tcW w:w="2320" w:type="dxa"/>
            <w:tcBorders>
              <w:top w:val="single" w:sz="8" w:space="0" w:color="FFFFFF"/>
              <w:left w:val="single" w:sz="8" w:space="0" w:color="FFFFFF"/>
              <w:bottom w:val="single" w:sz="8" w:space="0" w:color="FFFFFF"/>
              <w:right w:val="single" w:sz="8" w:space="0" w:color="FFFFFF"/>
            </w:tcBorders>
            <w:shd w:val="clear" w:color="auto" w:fill="F0F3EE"/>
            <w:tcMar>
              <w:top w:w="15" w:type="dxa"/>
              <w:left w:w="15" w:type="dxa"/>
              <w:bottom w:w="0" w:type="dxa"/>
              <w:right w:w="15" w:type="dxa"/>
            </w:tcMar>
            <w:vAlign w:val="bottom"/>
            <w:hideMark/>
          </w:tcPr>
          <w:p w14:paraId="64629E05" w14:textId="77777777" w:rsidR="00DF28B6" w:rsidRPr="001163CF" w:rsidRDefault="00DF28B6" w:rsidP="008B5D7F">
            <w:pPr>
              <w:spacing w:after="0" w:line="240" w:lineRule="auto"/>
              <w:ind w:firstLine="0"/>
              <w:jc w:val="left"/>
              <w:textAlignment w:val="bottom"/>
              <w:rPr>
                <w:rFonts w:ascii="Arial" w:eastAsia="Times New Roman" w:hAnsi="Arial" w:cs="Arial"/>
                <w:sz w:val="20"/>
                <w:szCs w:val="20"/>
              </w:rPr>
            </w:pPr>
            <w:r w:rsidRPr="001163CF">
              <w:rPr>
                <w:rFonts w:ascii="Constantia" w:eastAsia="Times New Roman" w:hAnsi="Constantia" w:cs="Arial"/>
                <w:color w:val="000000"/>
                <w:kern w:val="24"/>
                <w:sz w:val="20"/>
                <w:szCs w:val="20"/>
              </w:rPr>
              <w:t> </w:t>
            </w:r>
          </w:p>
        </w:tc>
      </w:tr>
      <w:tr w:rsidR="00DF28B6" w:rsidRPr="001163CF" w14:paraId="6FB4C97D" w14:textId="77777777" w:rsidTr="00A96975">
        <w:trPr>
          <w:trHeight w:val="290"/>
          <w:jc w:val="center"/>
        </w:trPr>
        <w:tc>
          <w:tcPr>
            <w:tcW w:w="3980" w:type="dxa"/>
            <w:vMerge w:val="restart"/>
            <w:tcBorders>
              <w:top w:val="single" w:sz="8" w:space="0" w:color="FFFFFF"/>
              <w:left w:val="single" w:sz="8" w:space="0" w:color="FFFFFF"/>
              <w:bottom w:val="single" w:sz="8" w:space="0" w:color="FFFFFF"/>
              <w:right w:val="single" w:sz="8" w:space="0" w:color="FFFFFF"/>
            </w:tcBorders>
            <w:shd w:val="clear" w:color="auto" w:fill="F0F3EE"/>
            <w:tcMar>
              <w:top w:w="15" w:type="dxa"/>
              <w:left w:w="15" w:type="dxa"/>
              <w:bottom w:w="0" w:type="dxa"/>
              <w:right w:w="15" w:type="dxa"/>
            </w:tcMar>
            <w:hideMark/>
          </w:tcPr>
          <w:p w14:paraId="7A86AC29" w14:textId="77777777" w:rsidR="00DF28B6" w:rsidRPr="001163CF" w:rsidRDefault="00DF28B6" w:rsidP="008B5D7F">
            <w:pPr>
              <w:spacing w:after="0" w:line="240" w:lineRule="auto"/>
              <w:ind w:firstLine="0"/>
              <w:jc w:val="left"/>
              <w:textAlignment w:val="top"/>
              <w:rPr>
                <w:rFonts w:ascii="Arial" w:eastAsia="Times New Roman" w:hAnsi="Arial" w:cs="Arial"/>
                <w:sz w:val="20"/>
                <w:szCs w:val="20"/>
              </w:rPr>
            </w:pPr>
            <w:r w:rsidRPr="001163CF">
              <w:rPr>
                <w:rFonts w:ascii="Constantia" w:eastAsia="Times New Roman" w:hAnsi="Constantia" w:cs="Arial"/>
                <w:color w:val="000000"/>
                <w:kern w:val="24"/>
                <w:sz w:val="20"/>
                <w:szCs w:val="20"/>
              </w:rPr>
              <w:t>dummy crisis 2001 (d02)</w:t>
            </w:r>
          </w:p>
        </w:tc>
        <w:tc>
          <w:tcPr>
            <w:tcW w:w="2320" w:type="dxa"/>
            <w:tcBorders>
              <w:top w:val="single" w:sz="8" w:space="0" w:color="FFFFFF"/>
              <w:left w:val="single" w:sz="8" w:space="0" w:color="FFFFFF"/>
              <w:bottom w:val="single" w:sz="8" w:space="0" w:color="FFFFFF"/>
              <w:right w:val="single" w:sz="8" w:space="0" w:color="FFFFFF"/>
            </w:tcBorders>
            <w:shd w:val="clear" w:color="auto" w:fill="F0F3EE"/>
            <w:tcMar>
              <w:top w:w="15" w:type="dxa"/>
              <w:left w:w="15" w:type="dxa"/>
              <w:bottom w:w="0" w:type="dxa"/>
              <w:right w:w="15" w:type="dxa"/>
            </w:tcMar>
            <w:vAlign w:val="bottom"/>
            <w:hideMark/>
          </w:tcPr>
          <w:p w14:paraId="1B878E84" w14:textId="77777777" w:rsidR="00DF28B6" w:rsidRPr="001163CF" w:rsidRDefault="00DF28B6" w:rsidP="008B5D7F">
            <w:pPr>
              <w:spacing w:after="0" w:line="240" w:lineRule="auto"/>
              <w:ind w:firstLine="0"/>
              <w:jc w:val="center"/>
              <w:textAlignment w:val="bottom"/>
              <w:rPr>
                <w:rFonts w:ascii="Arial" w:eastAsia="Times New Roman" w:hAnsi="Arial" w:cs="Arial"/>
                <w:sz w:val="20"/>
                <w:szCs w:val="20"/>
              </w:rPr>
            </w:pPr>
            <w:r w:rsidRPr="001163CF">
              <w:rPr>
                <w:rFonts w:ascii="Constantia" w:eastAsia="Times New Roman" w:hAnsi="Constantia" w:cs="Arial"/>
                <w:color w:val="000000"/>
                <w:kern w:val="24"/>
                <w:sz w:val="20"/>
                <w:szCs w:val="20"/>
              </w:rPr>
              <w:t>0.130***</w:t>
            </w:r>
          </w:p>
        </w:tc>
        <w:tc>
          <w:tcPr>
            <w:tcW w:w="2320" w:type="dxa"/>
            <w:tcBorders>
              <w:top w:val="single" w:sz="8" w:space="0" w:color="FFFFFF"/>
              <w:left w:val="single" w:sz="8" w:space="0" w:color="FFFFFF"/>
              <w:bottom w:val="single" w:sz="8" w:space="0" w:color="FFFFFF"/>
              <w:right w:val="single" w:sz="8" w:space="0" w:color="FFFFFF"/>
            </w:tcBorders>
            <w:shd w:val="clear" w:color="auto" w:fill="F0F3EE"/>
            <w:tcMar>
              <w:top w:w="15" w:type="dxa"/>
              <w:left w:w="15" w:type="dxa"/>
              <w:bottom w:w="0" w:type="dxa"/>
              <w:right w:w="15" w:type="dxa"/>
            </w:tcMar>
            <w:vAlign w:val="bottom"/>
            <w:hideMark/>
          </w:tcPr>
          <w:p w14:paraId="3A732DE7" w14:textId="77777777" w:rsidR="00DF28B6" w:rsidRPr="001163CF" w:rsidRDefault="00DF28B6" w:rsidP="008B5D7F">
            <w:pPr>
              <w:spacing w:after="0" w:line="240" w:lineRule="auto"/>
              <w:ind w:firstLine="0"/>
              <w:jc w:val="left"/>
              <w:textAlignment w:val="bottom"/>
              <w:rPr>
                <w:rFonts w:ascii="Arial" w:eastAsia="Times New Roman" w:hAnsi="Arial" w:cs="Arial"/>
                <w:sz w:val="20"/>
                <w:szCs w:val="20"/>
              </w:rPr>
            </w:pPr>
            <w:r w:rsidRPr="001163CF">
              <w:rPr>
                <w:rFonts w:ascii="Constantia" w:eastAsia="Times New Roman" w:hAnsi="Constantia" w:cs="Arial"/>
                <w:color w:val="000000"/>
                <w:kern w:val="24"/>
                <w:sz w:val="20"/>
                <w:szCs w:val="20"/>
              </w:rPr>
              <w:t> </w:t>
            </w:r>
          </w:p>
        </w:tc>
      </w:tr>
      <w:tr w:rsidR="00DF28B6" w:rsidRPr="001163CF" w14:paraId="27859A2E" w14:textId="77777777" w:rsidTr="00A96975">
        <w:trPr>
          <w:trHeight w:val="290"/>
          <w:jc w:val="center"/>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05A2A0B2" w14:textId="77777777" w:rsidR="00DF28B6" w:rsidRPr="001163CF" w:rsidRDefault="00DF28B6" w:rsidP="008B5D7F">
            <w:pPr>
              <w:spacing w:after="0" w:line="240" w:lineRule="auto"/>
              <w:ind w:firstLine="0"/>
              <w:jc w:val="left"/>
              <w:rPr>
                <w:rFonts w:ascii="Arial" w:eastAsia="Times New Roman" w:hAnsi="Arial" w:cs="Arial"/>
                <w:sz w:val="20"/>
                <w:szCs w:val="20"/>
              </w:rPr>
            </w:pPr>
          </w:p>
        </w:tc>
        <w:tc>
          <w:tcPr>
            <w:tcW w:w="2320" w:type="dxa"/>
            <w:tcBorders>
              <w:top w:val="single" w:sz="8" w:space="0" w:color="FFFFFF"/>
              <w:left w:val="single" w:sz="8" w:space="0" w:color="FFFFFF"/>
              <w:bottom w:val="single" w:sz="8" w:space="0" w:color="FFFFFF"/>
              <w:right w:val="single" w:sz="8" w:space="0" w:color="FFFFFF"/>
            </w:tcBorders>
            <w:shd w:val="clear" w:color="auto" w:fill="F0F3EE"/>
            <w:tcMar>
              <w:top w:w="15" w:type="dxa"/>
              <w:left w:w="15" w:type="dxa"/>
              <w:bottom w:w="0" w:type="dxa"/>
              <w:right w:w="15" w:type="dxa"/>
            </w:tcMar>
            <w:vAlign w:val="bottom"/>
            <w:hideMark/>
          </w:tcPr>
          <w:p w14:paraId="4AFB8FE0" w14:textId="77777777" w:rsidR="00DF28B6" w:rsidRPr="001163CF" w:rsidRDefault="00DF28B6" w:rsidP="008B5D7F">
            <w:pPr>
              <w:spacing w:after="0" w:line="240" w:lineRule="auto"/>
              <w:ind w:firstLine="0"/>
              <w:jc w:val="center"/>
              <w:textAlignment w:val="bottom"/>
              <w:rPr>
                <w:rFonts w:ascii="Arial" w:eastAsia="Times New Roman" w:hAnsi="Arial" w:cs="Arial"/>
                <w:sz w:val="20"/>
                <w:szCs w:val="20"/>
              </w:rPr>
            </w:pPr>
            <w:r w:rsidRPr="001163CF">
              <w:rPr>
                <w:rFonts w:ascii="Constantia" w:eastAsia="Times New Roman" w:hAnsi="Constantia" w:cs="Arial"/>
                <w:color w:val="000000"/>
                <w:kern w:val="24"/>
                <w:sz w:val="20"/>
                <w:szCs w:val="20"/>
              </w:rPr>
              <w:t>(0.036)</w:t>
            </w:r>
          </w:p>
        </w:tc>
        <w:tc>
          <w:tcPr>
            <w:tcW w:w="2320" w:type="dxa"/>
            <w:tcBorders>
              <w:top w:val="single" w:sz="8" w:space="0" w:color="FFFFFF"/>
              <w:left w:val="single" w:sz="8" w:space="0" w:color="FFFFFF"/>
              <w:bottom w:val="single" w:sz="8" w:space="0" w:color="FFFFFF"/>
              <w:right w:val="single" w:sz="8" w:space="0" w:color="FFFFFF"/>
            </w:tcBorders>
            <w:shd w:val="clear" w:color="auto" w:fill="F0F3EE"/>
            <w:tcMar>
              <w:top w:w="15" w:type="dxa"/>
              <w:left w:w="15" w:type="dxa"/>
              <w:bottom w:w="0" w:type="dxa"/>
              <w:right w:w="15" w:type="dxa"/>
            </w:tcMar>
            <w:vAlign w:val="bottom"/>
            <w:hideMark/>
          </w:tcPr>
          <w:p w14:paraId="2FCB5B98" w14:textId="77777777" w:rsidR="00DF28B6" w:rsidRPr="001163CF" w:rsidRDefault="00DF28B6" w:rsidP="008B5D7F">
            <w:pPr>
              <w:spacing w:after="0" w:line="240" w:lineRule="auto"/>
              <w:ind w:firstLine="0"/>
              <w:jc w:val="left"/>
              <w:textAlignment w:val="bottom"/>
              <w:rPr>
                <w:rFonts w:ascii="Arial" w:eastAsia="Times New Roman" w:hAnsi="Arial" w:cs="Arial"/>
                <w:sz w:val="20"/>
                <w:szCs w:val="20"/>
              </w:rPr>
            </w:pPr>
            <w:r w:rsidRPr="001163CF">
              <w:rPr>
                <w:rFonts w:ascii="Constantia" w:eastAsia="Times New Roman" w:hAnsi="Constantia" w:cs="Arial"/>
                <w:color w:val="000000"/>
                <w:kern w:val="24"/>
                <w:sz w:val="20"/>
                <w:szCs w:val="20"/>
              </w:rPr>
              <w:t> </w:t>
            </w:r>
          </w:p>
        </w:tc>
      </w:tr>
      <w:tr w:rsidR="00DF28B6" w:rsidRPr="001163CF" w14:paraId="10396C33" w14:textId="77777777" w:rsidTr="00A96975">
        <w:trPr>
          <w:trHeight w:val="290"/>
          <w:jc w:val="center"/>
        </w:trPr>
        <w:tc>
          <w:tcPr>
            <w:tcW w:w="3980" w:type="dxa"/>
            <w:vMerge w:val="restart"/>
            <w:tcBorders>
              <w:top w:val="single" w:sz="8" w:space="0" w:color="FFFFFF"/>
              <w:left w:val="single" w:sz="8" w:space="0" w:color="FFFFFF"/>
              <w:bottom w:val="single" w:sz="8" w:space="0" w:color="FFFFFF"/>
              <w:right w:val="single" w:sz="8" w:space="0" w:color="FFFFFF"/>
            </w:tcBorders>
            <w:shd w:val="clear" w:color="auto" w:fill="F0F3EE"/>
            <w:tcMar>
              <w:top w:w="15" w:type="dxa"/>
              <w:left w:w="15" w:type="dxa"/>
              <w:bottom w:w="0" w:type="dxa"/>
              <w:right w:w="15" w:type="dxa"/>
            </w:tcMar>
            <w:hideMark/>
          </w:tcPr>
          <w:p w14:paraId="4B78A6E2" w14:textId="77777777" w:rsidR="00DF28B6" w:rsidRPr="001163CF" w:rsidRDefault="00DF28B6" w:rsidP="008B5D7F">
            <w:pPr>
              <w:spacing w:after="0" w:line="240" w:lineRule="auto"/>
              <w:ind w:firstLine="0"/>
              <w:jc w:val="left"/>
              <w:textAlignment w:val="top"/>
              <w:rPr>
                <w:rFonts w:ascii="Arial" w:eastAsia="Times New Roman" w:hAnsi="Arial" w:cs="Arial"/>
                <w:sz w:val="20"/>
                <w:szCs w:val="20"/>
              </w:rPr>
            </w:pPr>
            <w:r w:rsidRPr="001163CF">
              <w:rPr>
                <w:rFonts w:ascii="Constantia" w:eastAsia="Times New Roman" w:hAnsi="Constantia" w:cs="Arial"/>
                <w:color w:val="000000"/>
                <w:kern w:val="24"/>
                <w:sz w:val="20"/>
                <w:szCs w:val="20"/>
              </w:rPr>
              <w:t>Constante</w:t>
            </w:r>
          </w:p>
        </w:tc>
        <w:tc>
          <w:tcPr>
            <w:tcW w:w="2320" w:type="dxa"/>
            <w:tcBorders>
              <w:top w:val="single" w:sz="8" w:space="0" w:color="FFFFFF"/>
              <w:left w:val="single" w:sz="8" w:space="0" w:color="FFFFFF"/>
              <w:bottom w:val="single" w:sz="8" w:space="0" w:color="FFFFFF"/>
              <w:right w:val="single" w:sz="8" w:space="0" w:color="FFFFFF"/>
            </w:tcBorders>
            <w:shd w:val="clear" w:color="auto" w:fill="F0F3EE"/>
            <w:tcMar>
              <w:top w:w="15" w:type="dxa"/>
              <w:left w:w="15" w:type="dxa"/>
              <w:bottom w:w="0" w:type="dxa"/>
              <w:right w:w="15" w:type="dxa"/>
            </w:tcMar>
            <w:vAlign w:val="bottom"/>
            <w:hideMark/>
          </w:tcPr>
          <w:p w14:paraId="6EA71393" w14:textId="77777777" w:rsidR="00DF28B6" w:rsidRPr="001163CF" w:rsidRDefault="00DF28B6" w:rsidP="008B5D7F">
            <w:pPr>
              <w:spacing w:after="0" w:line="240" w:lineRule="auto"/>
              <w:ind w:firstLine="0"/>
              <w:jc w:val="center"/>
              <w:textAlignment w:val="bottom"/>
              <w:rPr>
                <w:rFonts w:ascii="Arial" w:eastAsia="Times New Roman" w:hAnsi="Arial" w:cs="Arial"/>
                <w:sz w:val="20"/>
                <w:szCs w:val="20"/>
              </w:rPr>
            </w:pPr>
            <w:r w:rsidRPr="001163CF">
              <w:rPr>
                <w:rFonts w:ascii="Constantia" w:eastAsia="Times New Roman" w:hAnsi="Constantia" w:cs="Arial"/>
                <w:color w:val="000000"/>
                <w:kern w:val="24"/>
                <w:sz w:val="20"/>
                <w:szCs w:val="20"/>
              </w:rPr>
              <w:t xml:space="preserve"> -12.19***</w:t>
            </w:r>
          </w:p>
        </w:tc>
        <w:tc>
          <w:tcPr>
            <w:tcW w:w="2320" w:type="dxa"/>
            <w:tcBorders>
              <w:top w:val="single" w:sz="8" w:space="0" w:color="FFFFFF"/>
              <w:left w:val="single" w:sz="8" w:space="0" w:color="FFFFFF"/>
              <w:bottom w:val="single" w:sz="8" w:space="0" w:color="FFFFFF"/>
              <w:right w:val="single" w:sz="8" w:space="0" w:color="FFFFFF"/>
            </w:tcBorders>
            <w:shd w:val="clear" w:color="auto" w:fill="F0F3EE"/>
            <w:tcMar>
              <w:top w:w="15" w:type="dxa"/>
              <w:left w:w="15" w:type="dxa"/>
              <w:bottom w:w="0" w:type="dxa"/>
              <w:right w:w="15" w:type="dxa"/>
            </w:tcMar>
            <w:vAlign w:val="bottom"/>
            <w:hideMark/>
          </w:tcPr>
          <w:p w14:paraId="1AA6E8B0" w14:textId="77777777" w:rsidR="00DF28B6" w:rsidRPr="001163CF" w:rsidRDefault="00DF28B6" w:rsidP="008B5D7F">
            <w:pPr>
              <w:spacing w:after="0" w:line="240" w:lineRule="auto"/>
              <w:ind w:firstLine="0"/>
              <w:jc w:val="left"/>
              <w:textAlignment w:val="bottom"/>
              <w:rPr>
                <w:rFonts w:ascii="Arial" w:eastAsia="Times New Roman" w:hAnsi="Arial" w:cs="Arial"/>
                <w:sz w:val="20"/>
                <w:szCs w:val="20"/>
              </w:rPr>
            </w:pPr>
            <w:r w:rsidRPr="001163CF">
              <w:rPr>
                <w:rFonts w:ascii="Constantia" w:eastAsia="Times New Roman" w:hAnsi="Constantia" w:cs="Arial"/>
                <w:color w:val="000000"/>
                <w:kern w:val="24"/>
                <w:sz w:val="20"/>
                <w:szCs w:val="20"/>
              </w:rPr>
              <w:t> </w:t>
            </w:r>
          </w:p>
        </w:tc>
      </w:tr>
      <w:tr w:rsidR="00DF28B6" w:rsidRPr="001163CF" w14:paraId="51EC08E4" w14:textId="77777777" w:rsidTr="00A96975">
        <w:trPr>
          <w:trHeight w:val="290"/>
          <w:jc w:val="center"/>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05F8A637" w14:textId="77777777" w:rsidR="00DF28B6" w:rsidRPr="001163CF" w:rsidRDefault="00DF28B6" w:rsidP="008B5D7F">
            <w:pPr>
              <w:spacing w:after="0" w:line="240" w:lineRule="auto"/>
              <w:ind w:firstLine="0"/>
              <w:jc w:val="left"/>
              <w:rPr>
                <w:rFonts w:ascii="Arial" w:eastAsia="Times New Roman" w:hAnsi="Arial" w:cs="Arial"/>
                <w:sz w:val="20"/>
                <w:szCs w:val="20"/>
              </w:rPr>
            </w:pPr>
          </w:p>
        </w:tc>
        <w:tc>
          <w:tcPr>
            <w:tcW w:w="2320" w:type="dxa"/>
            <w:tcBorders>
              <w:top w:val="single" w:sz="8" w:space="0" w:color="FFFFFF"/>
              <w:left w:val="single" w:sz="8" w:space="0" w:color="FFFFFF"/>
              <w:bottom w:val="single" w:sz="8" w:space="0" w:color="FFFFFF"/>
              <w:right w:val="single" w:sz="8" w:space="0" w:color="FFFFFF"/>
            </w:tcBorders>
            <w:shd w:val="clear" w:color="auto" w:fill="F0F3EE"/>
            <w:tcMar>
              <w:top w:w="15" w:type="dxa"/>
              <w:left w:w="15" w:type="dxa"/>
              <w:bottom w:w="0" w:type="dxa"/>
              <w:right w:w="15" w:type="dxa"/>
            </w:tcMar>
            <w:vAlign w:val="bottom"/>
            <w:hideMark/>
          </w:tcPr>
          <w:p w14:paraId="2F0D3C9C" w14:textId="77777777" w:rsidR="00DF28B6" w:rsidRPr="001163CF" w:rsidRDefault="00DF28B6" w:rsidP="008B5D7F">
            <w:pPr>
              <w:spacing w:after="0" w:line="240" w:lineRule="auto"/>
              <w:ind w:firstLine="0"/>
              <w:jc w:val="center"/>
              <w:textAlignment w:val="bottom"/>
              <w:rPr>
                <w:rFonts w:ascii="Arial" w:eastAsia="Times New Roman" w:hAnsi="Arial" w:cs="Arial"/>
                <w:sz w:val="20"/>
                <w:szCs w:val="20"/>
              </w:rPr>
            </w:pPr>
            <w:r w:rsidRPr="001163CF">
              <w:rPr>
                <w:rFonts w:ascii="Constantia" w:eastAsia="Times New Roman" w:hAnsi="Constantia" w:cs="Arial"/>
                <w:color w:val="000000"/>
                <w:kern w:val="24"/>
                <w:sz w:val="20"/>
                <w:szCs w:val="20"/>
              </w:rPr>
              <w:t>(-1.438)</w:t>
            </w:r>
          </w:p>
        </w:tc>
        <w:tc>
          <w:tcPr>
            <w:tcW w:w="2320" w:type="dxa"/>
            <w:tcBorders>
              <w:top w:val="single" w:sz="8" w:space="0" w:color="FFFFFF"/>
              <w:left w:val="single" w:sz="8" w:space="0" w:color="FFFFFF"/>
              <w:bottom w:val="single" w:sz="8" w:space="0" w:color="FFFFFF"/>
              <w:right w:val="single" w:sz="8" w:space="0" w:color="FFFFFF"/>
            </w:tcBorders>
            <w:shd w:val="clear" w:color="auto" w:fill="F0F3EE"/>
            <w:tcMar>
              <w:top w:w="15" w:type="dxa"/>
              <w:left w:w="15" w:type="dxa"/>
              <w:bottom w:w="0" w:type="dxa"/>
              <w:right w:w="15" w:type="dxa"/>
            </w:tcMar>
            <w:vAlign w:val="bottom"/>
            <w:hideMark/>
          </w:tcPr>
          <w:p w14:paraId="29DB0218" w14:textId="77777777" w:rsidR="00DF28B6" w:rsidRPr="001163CF" w:rsidRDefault="00DF28B6" w:rsidP="008B5D7F">
            <w:pPr>
              <w:spacing w:after="0" w:line="240" w:lineRule="auto"/>
              <w:ind w:firstLine="0"/>
              <w:jc w:val="left"/>
              <w:textAlignment w:val="bottom"/>
              <w:rPr>
                <w:rFonts w:ascii="Arial" w:eastAsia="Times New Roman" w:hAnsi="Arial" w:cs="Arial"/>
                <w:sz w:val="20"/>
                <w:szCs w:val="20"/>
              </w:rPr>
            </w:pPr>
            <w:r w:rsidRPr="001163CF">
              <w:rPr>
                <w:rFonts w:ascii="Constantia" w:eastAsia="Times New Roman" w:hAnsi="Constantia" w:cs="Arial"/>
                <w:color w:val="000000"/>
                <w:kern w:val="24"/>
                <w:sz w:val="20"/>
                <w:szCs w:val="20"/>
              </w:rPr>
              <w:t> </w:t>
            </w:r>
          </w:p>
        </w:tc>
      </w:tr>
      <w:tr w:rsidR="00DF28B6" w:rsidRPr="00EE621F" w14:paraId="03ED3833" w14:textId="77777777" w:rsidTr="00A96975">
        <w:trPr>
          <w:trHeight w:val="290"/>
          <w:jc w:val="center"/>
        </w:trPr>
        <w:tc>
          <w:tcPr>
            <w:tcW w:w="8620" w:type="dxa"/>
            <w:gridSpan w:val="3"/>
            <w:tcBorders>
              <w:top w:val="single" w:sz="8" w:space="0" w:color="FFFFFF"/>
              <w:left w:val="single" w:sz="8" w:space="0" w:color="FFFFFF"/>
              <w:bottom w:val="single" w:sz="8" w:space="0" w:color="FFFFFF"/>
              <w:right w:val="single" w:sz="8" w:space="0" w:color="FFFFFF"/>
            </w:tcBorders>
            <w:shd w:val="clear" w:color="auto" w:fill="F0F3EE"/>
            <w:tcMar>
              <w:top w:w="15" w:type="dxa"/>
              <w:left w:w="15" w:type="dxa"/>
              <w:bottom w:w="0" w:type="dxa"/>
              <w:right w:w="15" w:type="dxa"/>
            </w:tcMar>
            <w:vAlign w:val="bottom"/>
            <w:hideMark/>
          </w:tcPr>
          <w:p w14:paraId="671DF92E" w14:textId="77777777" w:rsidR="00DF28B6" w:rsidRPr="001163CF" w:rsidRDefault="00DF28B6" w:rsidP="008B5D7F">
            <w:pPr>
              <w:spacing w:after="0" w:line="240" w:lineRule="auto"/>
              <w:ind w:firstLine="0"/>
              <w:jc w:val="left"/>
              <w:textAlignment w:val="bottom"/>
              <w:rPr>
                <w:rFonts w:ascii="Arial" w:eastAsia="Times New Roman" w:hAnsi="Arial" w:cs="Arial"/>
                <w:sz w:val="20"/>
                <w:szCs w:val="20"/>
                <w:lang w:val="es-AR"/>
              </w:rPr>
            </w:pPr>
            <w:r w:rsidRPr="001163CF">
              <w:rPr>
                <w:rFonts w:ascii="Constantia" w:eastAsia="Times New Roman" w:hAnsi="Constantia" w:cs="Arial"/>
                <w:color w:val="000000"/>
                <w:kern w:val="24"/>
                <w:sz w:val="20"/>
                <w:szCs w:val="20"/>
                <w:lang w:val="es-ES"/>
              </w:rPr>
              <w:t>Errores estándar robustos en paréntesis</w:t>
            </w:r>
          </w:p>
        </w:tc>
      </w:tr>
      <w:tr w:rsidR="00DF28B6" w:rsidRPr="001163CF" w14:paraId="7661C4CD" w14:textId="77777777" w:rsidTr="00A96975">
        <w:trPr>
          <w:trHeight w:val="290"/>
          <w:jc w:val="center"/>
        </w:trPr>
        <w:tc>
          <w:tcPr>
            <w:tcW w:w="8620" w:type="dxa"/>
            <w:gridSpan w:val="3"/>
            <w:tcBorders>
              <w:top w:val="single" w:sz="8" w:space="0" w:color="FFFFFF"/>
              <w:left w:val="single" w:sz="8" w:space="0" w:color="FFFFFF"/>
              <w:bottom w:val="single" w:sz="8" w:space="0" w:color="FFFFFF"/>
              <w:right w:val="single" w:sz="8" w:space="0" w:color="FFFFFF"/>
            </w:tcBorders>
            <w:shd w:val="clear" w:color="auto" w:fill="F0F3EE"/>
            <w:tcMar>
              <w:top w:w="15" w:type="dxa"/>
              <w:left w:w="15" w:type="dxa"/>
              <w:bottom w:w="0" w:type="dxa"/>
              <w:right w:w="15" w:type="dxa"/>
            </w:tcMar>
            <w:vAlign w:val="bottom"/>
            <w:hideMark/>
          </w:tcPr>
          <w:p w14:paraId="3E91B1E0" w14:textId="77777777" w:rsidR="00DF28B6" w:rsidRPr="001163CF" w:rsidRDefault="00DF28B6" w:rsidP="008B5D7F">
            <w:pPr>
              <w:spacing w:after="0" w:line="240" w:lineRule="auto"/>
              <w:ind w:firstLine="0"/>
              <w:jc w:val="left"/>
              <w:textAlignment w:val="bottom"/>
              <w:rPr>
                <w:rFonts w:ascii="Arial" w:eastAsia="Times New Roman" w:hAnsi="Arial" w:cs="Arial"/>
                <w:sz w:val="20"/>
                <w:szCs w:val="20"/>
              </w:rPr>
            </w:pPr>
            <w:r w:rsidRPr="001163CF">
              <w:rPr>
                <w:rFonts w:ascii="Constantia" w:eastAsia="Times New Roman" w:hAnsi="Constantia" w:cs="Arial"/>
                <w:color w:val="000000"/>
                <w:kern w:val="24"/>
                <w:sz w:val="20"/>
                <w:szCs w:val="20"/>
              </w:rPr>
              <w:t>*** p&lt;0.01, ** p&lt;0.05, * p&lt;0.1</w:t>
            </w:r>
          </w:p>
        </w:tc>
      </w:tr>
    </w:tbl>
    <w:p w14:paraId="60557A25" w14:textId="77777777" w:rsidR="007163AB" w:rsidRPr="007163AB" w:rsidRDefault="007163AB" w:rsidP="008B5D7F">
      <w:pPr>
        <w:spacing w:line="240" w:lineRule="auto"/>
        <w:jc w:val="center"/>
        <w:rPr>
          <w:rFonts w:cstheme="minorHAnsi"/>
          <w:sz w:val="16"/>
          <w:szCs w:val="16"/>
          <w:lang w:val="es-AR"/>
        </w:rPr>
      </w:pPr>
      <w:r w:rsidRPr="007163AB">
        <w:rPr>
          <w:rFonts w:cstheme="minorHAnsi"/>
          <w:sz w:val="16"/>
          <w:szCs w:val="16"/>
          <w:lang w:val="es-AR"/>
        </w:rPr>
        <w:t>Fuente: Elaboración propia.</w:t>
      </w:r>
    </w:p>
    <w:p w14:paraId="4FCD48D7" w14:textId="77777777" w:rsidR="00DF28B6" w:rsidRPr="004E10B7" w:rsidRDefault="00DF28B6" w:rsidP="008B5D7F">
      <w:pPr>
        <w:spacing w:line="240" w:lineRule="auto"/>
        <w:rPr>
          <w:lang w:val="es-AR"/>
        </w:rPr>
      </w:pPr>
      <w:r w:rsidRPr="004E10B7">
        <w:rPr>
          <w:lang w:val="es-AR"/>
        </w:rPr>
        <w:t>Para calcular, a partir de esta estimación econométrica, el esfuerzo fiscal realizado por cada provincia argentina en el periodo bajo análisis se sigue a Díaz (2014) que define para los municipios argentinos al esfuerzo fiscal como la diferencia entre la recaudación efectiva y la recaudación potencial, estimada a partir de un modelo econométrico de efectos fijos de datos de panel.</w:t>
      </w:r>
    </w:p>
    <w:p w14:paraId="11702E7C" w14:textId="77777777" w:rsidR="00DF28B6" w:rsidRPr="004E10B7" w:rsidRDefault="00EE621F" w:rsidP="008B5D7F">
      <w:pPr>
        <w:spacing w:line="240" w:lineRule="auto"/>
        <w:rPr>
          <w:iCs/>
          <w:lang w:val="es-AR"/>
        </w:rPr>
      </w:pPr>
      <m:oMathPara>
        <m:oMath>
          <m:sSub>
            <m:sSubPr>
              <m:ctrlPr>
                <w:rPr>
                  <w:rFonts w:ascii="Cambria Math" w:hAnsi="Cambria Math"/>
                  <w:i/>
                  <w:iCs/>
                  <w:lang w:val="es-AR"/>
                </w:rPr>
              </m:ctrlPr>
            </m:sSubPr>
            <m:e>
              <m:r>
                <w:rPr>
                  <w:rFonts w:ascii="Cambria Math" w:hAnsi="Cambria Math"/>
                  <w:lang w:val="es-AR"/>
                </w:rPr>
                <m:t>EF</m:t>
              </m:r>
            </m:e>
            <m:sub>
              <m:r>
                <w:rPr>
                  <w:rFonts w:ascii="Cambria Math" w:hAnsi="Cambria Math"/>
                  <w:lang w:val="es-AR"/>
                </w:rPr>
                <m:t>it</m:t>
              </m:r>
            </m:sub>
          </m:sSub>
          <m:r>
            <w:rPr>
              <w:rFonts w:ascii="Cambria Math" w:hAnsi="Cambria Math"/>
              <w:lang w:val="es-AR"/>
            </w:rPr>
            <m:t>=y-</m:t>
          </m:r>
          <m:acc>
            <m:accPr>
              <m:ctrlPr>
                <w:rPr>
                  <w:rFonts w:ascii="Cambria Math" w:hAnsi="Cambria Math"/>
                  <w:i/>
                  <w:iCs/>
                  <w:lang w:val="es-AR"/>
                </w:rPr>
              </m:ctrlPr>
            </m:accPr>
            <m:e>
              <m:r>
                <w:rPr>
                  <w:rFonts w:ascii="Cambria Math" w:hAnsi="Cambria Math"/>
                  <w:lang w:val="es-AR"/>
                </w:rPr>
                <m:t>y</m:t>
              </m:r>
            </m:e>
          </m:acc>
        </m:oMath>
      </m:oMathPara>
    </w:p>
    <w:p w14:paraId="17B3FE60" w14:textId="77777777" w:rsidR="00DF28B6" w:rsidRPr="004E10B7" w:rsidRDefault="00DF28B6" w:rsidP="008B5D7F">
      <w:pPr>
        <w:spacing w:line="240" w:lineRule="auto"/>
        <w:rPr>
          <w:iCs/>
          <w:lang w:val="es-AR"/>
        </w:rPr>
      </w:pPr>
      <w:r w:rsidRPr="004E10B7">
        <w:rPr>
          <w:iCs/>
          <w:lang w:val="es-AR"/>
        </w:rPr>
        <w:t>Es decir, que si la recaudación efectiva resulta ser mayor a la recaudación potencial, el esfuerzo fiscal de esa provincia en ese periodo de tiempo es positivo, y negativo en caso de que sea menor.</w:t>
      </w:r>
    </w:p>
    <w:p w14:paraId="6F326C9C" w14:textId="77777777" w:rsidR="00DF28B6" w:rsidRPr="004E10B7" w:rsidRDefault="00DF28B6" w:rsidP="008B5D7F">
      <w:pPr>
        <w:spacing w:line="240" w:lineRule="auto"/>
        <w:rPr>
          <w:iCs/>
          <w:lang w:val="es-AR"/>
        </w:rPr>
      </w:pPr>
      <w:r w:rsidRPr="004E10B7">
        <w:rPr>
          <w:iCs/>
          <w:lang w:val="es-AR"/>
        </w:rPr>
        <w:t xml:space="preserve">A partir de este cálculo se obtiene que en los 22 años bajo análisis Chubut, La Pampa, Neuquén, Río Negro, San Luis y Tierra del Fuego siempre estuvieron sobre su potencial. CABA estuvo </w:t>
      </w:r>
      <w:r w:rsidRPr="004E10B7">
        <w:rPr>
          <w:iCs/>
          <w:lang w:val="es-AR"/>
        </w:rPr>
        <w:lastRenderedPageBreak/>
        <w:t>19 años por arriba de su potencial, siendo importante destacar que como para este individuo no se contó con datos para el periodo 1993-1995, estos 19 años representan la totalidad de años bajo análisis del individuo. La recaudación de Santa Cruz estuvo 21 años de los 22 por arriba de su potencial, mientras que Mendoza lo hizo 16 años y Misiones 12.</w:t>
      </w:r>
    </w:p>
    <w:p w14:paraId="7C7D7E4D" w14:textId="77777777" w:rsidR="00DF28B6" w:rsidRPr="004E10B7" w:rsidRDefault="00DF28B6" w:rsidP="008B5D7F">
      <w:pPr>
        <w:spacing w:line="240" w:lineRule="auto"/>
        <w:rPr>
          <w:lang w:val="es-AR"/>
        </w:rPr>
      </w:pPr>
      <w:r w:rsidRPr="004E10B7">
        <w:rPr>
          <w:iCs/>
          <w:lang w:val="es-AR"/>
        </w:rPr>
        <w:t>La recaudación de Tucumán estuvo 13 años de los 22 por debajo de su potencial, mientras que la de Salta lo hizo 14 años, y Entre Ríos y Catamarca 20 cada uno. La Rioja recaudó ingresos brutos por debajo de su potencial 21 de los 22 años, y el resto de las provincias recaudaron todos los años por debajo de su potencial.</w:t>
      </w:r>
    </w:p>
    <w:p w14:paraId="1D24E7D7" w14:textId="58FF4D97" w:rsidR="00685542" w:rsidRPr="00E95008" w:rsidRDefault="00685542" w:rsidP="008B5D7F">
      <w:pPr>
        <w:pStyle w:val="Prrafodelista"/>
        <w:numPr>
          <w:ilvl w:val="0"/>
          <w:numId w:val="5"/>
        </w:numPr>
        <w:spacing w:line="240" w:lineRule="auto"/>
        <w:rPr>
          <w:b/>
          <w:lang w:val="es-AR"/>
        </w:rPr>
      </w:pPr>
      <w:r w:rsidRPr="00E95008">
        <w:rPr>
          <w:b/>
          <w:lang w:val="es-AR"/>
        </w:rPr>
        <w:t>Recaudación efectiva de ingresos brutos per cápita. Cantidad de años por arriba y por debajo del potencial. Provincias argentinas, 1993-2014.</w:t>
      </w:r>
    </w:p>
    <w:p w14:paraId="7C30354D" w14:textId="77777777" w:rsidR="00DF28B6" w:rsidRPr="00DA13CE" w:rsidRDefault="00DF28B6" w:rsidP="008B5D7F">
      <w:pPr>
        <w:spacing w:line="240" w:lineRule="auto"/>
        <w:jc w:val="center"/>
        <w:rPr>
          <w:highlight w:val="lightGray"/>
          <w:lang w:val="es-AR"/>
        </w:rPr>
      </w:pPr>
      <w:bookmarkStart w:id="7" w:name="_GoBack"/>
      <w:r>
        <w:rPr>
          <w:noProof/>
          <w:lang w:val="es-AR" w:eastAsia="es-AR"/>
        </w:rPr>
        <w:drawing>
          <wp:inline distT="0" distB="0" distL="0" distR="0" wp14:anchorId="0DA4808B" wp14:editId="6F8019E1">
            <wp:extent cx="3894497" cy="2315688"/>
            <wp:effectExtent l="0" t="0" r="10795" b="889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bookmarkEnd w:id="7"/>
    </w:p>
    <w:p w14:paraId="4A3BD926" w14:textId="77777777" w:rsidR="007163AB" w:rsidRPr="007163AB" w:rsidRDefault="007163AB" w:rsidP="008B5D7F">
      <w:pPr>
        <w:spacing w:line="240" w:lineRule="auto"/>
        <w:jc w:val="center"/>
        <w:rPr>
          <w:rFonts w:cstheme="minorHAnsi"/>
          <w:sz w:val="16"/>
          <w:szCs w:val="16"/>
          <w:lang w:val="es-AR"/>
        </w:rPr>
      </w:pPr>
      <w:r w:rsidRPr="007163AB">
        <w:rPr>
          <w:rFonts w:cstheme="minorHAnsi"/>
          <w:sz w:val="16"/>
          <w:szCs w:val="16"/>
          <w:lang w:val="es-AR"/>
        </w:rPr>
        <w:t>Fuente: Elaboración propia.</w:t>
      </w:r>
    </w:p>
    <w:p w14:paraId="6079C315" w14:textId="597F2254" w:rsidR="00DF28B6" w:rsidRPr="004E10B7" w:rsidRDefault="00C41402" w:rsidP="008B5D7F">
      <w:pPr>
        <w:spacing w:line="240" w:lineRule="auto"/>
        <w:rPr>
          <w:lang w:val="es-AR"/>
        </w:rPr>
      </w:pPr>
      <w:r>
        <w:rPr>
          <w:lang w:val="es-AR"/>
        </w:rPr>
        <w:t xml:space="preserve">La situación frente al potencial de cada provincia bajo análisis </w:t>
      </w:r>
      <w:r w:rsidR="00DF28B6" w:rsidRPr="004E10B7">
        <w:rPr>
          <w:lang w:val="es-AR"/>
        </w:rPr>
        <w:t xml:space="preserve">para los años 1993, 2004 y 2014 pareciera indicar que resulta difícil cambiar su situación de esfuerzo fiscal o de </w:t>
      </w:r>
      <w:r w:rsidR="00DF28B6" w:rsidRPr="004E10B7">
        <w:rPr>
          <w:i/>
          <w:lang w:val="es-AR"/>
        </w:rPr>
        <w:t>“situación recaudatoria”</w:t>
      </w:r>
      <w:r w:rsidR="00DF28B6" w:rsidRPr="004E10B7">
        <w:rPr>
          <w:lang w:val="es-AR"/>
        </w:rPr>
        <w:t xml:space="preserve">, situación con la que también se encuentra </w:t>
      </w:r>
      <w:r w:rsidR="00832642" w:rsidRPr="004E10B7">
        <w:rPr>
          <w:lang w:val="es-AR"/>
        </w:rPr>
        <w:t>Díaz</w:t>
      </w:r>
      <w:r w:rsidR="00DF28B6" w:rsidRPr="004E10B7">
        <w:rPr>
          <w:lang w:val="es-AR"/>
        </w:rPr>
        <w:t xml:space="preserve"> (2014) al analizar el caso de los municipios argentinos. Salvo algunas excepciones las provincias mantienen su situación recaudatoria o esfuerzo fiscal en todo el periodo bajo análisis.</w:t>
      </w:r>
    </w:p>
    <w:p w14:paraId="429B7EF6" w14:textId="48C031B5" w:rsidR="00A774CA" w:rsidRPr="00EE621F" w:rsidRDefault="00DF28B6" w:rsidP="00D52B0C">
      <w:pPr>
        <w:spacing w:beforeLines="60" w:before="144" w:afterLines="60" w:after="144" w:line="240" w:lineRule="auto"/>
        <w:rPr>
          <w:lang w:val="es-AR"/>
        </w:rPr>
      </w:pPr>
      <w:r w:rsidRPr="004E10B7">
        <w:rPr>
          <w:lang w:val="es-AR"/>
        </w:rPr>
        <w:t>Vale la pena mencionar dentro de las excepciones el caso de Mendoza, que pasa de una situación de recaudación mayor a la potencial a una de menor, recuperando la condición inicial de esfuerzo fiscal positivo de 2012 a 2014. También se destaca el caso de Tucumán que en el periodo bajo análisis empieza con una recaudación efectiva menor a la potencial y logra revertir la situación para el final del periodo.</w:t>
      </w:r>
      <w:r w:rsidR="00F46C4D" w:rsidRPr="004E10B7">
        <w:rPr>
          <w:lang w:val="es-AR"/>
        </w:rPr>
        <w:t xml:space="preserve"> </w:t>
      </w:r>
      <w:r w:rsidRPr="004E10B7">
        <w:rPr>
          <w:lang w:val="es-AR"/>
        </w:rPr>
        <w:t>Esta s</w:t>
      </w:r>
      <w:r w:rsidR="00014D2F" w:rsidRPr="004E10B7">
        <w:rPr>
          <w:lang w:val="es-AR"/>
        </w:rPr>
        <w:t>ituación indicaría, citando a Dí</w:t>
      </w:r>
      <w:r w:rsidRPr="004E10B7">
        <w:rPr>
          <w:lang w:val="es-AR"/>
        </w:rPr>
        <w:t>az (2014)</w:t>
      </w:r>
      <w:r w:rsidR="00124E5F" w:rsidRPr="004E10B7">
        <w:rPr>
          <w:lang w:val="es-AR"/>
        </w:rPr>
        <w:t xml:space="preserve"> que trabaja con municipios argentinos</w:t>
      </w:r>
      <w:r w:rsidRPr="004E10B7">
        <w:rPr>
          <w:lang w:val="es-AR"/>
        </w:rPr>
        <w:t xml:space="preserve">, que </w:t>
      </w:r>
      <w:r w:rsidRPr="004E10B7">
        <w:rPr>
          <w:i/>
          <w:lang w:val="es-AR"/>
        </w:rPr>
        <w:t>“es importante lograr el correcto funcionamiento recaudatorio”</w:t>
      </w:r>
      <w:r w:rsidR="00F46C4D" w:rsidRPr="004E10B7">
        <w:rPr>
          <w:i/>
          <w:lang w:val="es-AR"/>
        </w:rPr>
        <w:t xml:space="preserve"> </w:t>
      </w:r>
      <w:r w:rsidR="00F46C4D" w:rsidRPr="004E10B7">
        <w:rPr>
          <w:lang w:val="es-AR"/>
        </w:rPr>
        <w:t xml:space="preserve">porque no se presenta como una opción sencilla, a partir del análisis de los datos, el revertir la </w:t>
      </w:r>
      <w:r w:rsidR="00124E5F" w:rsidRPr="004E10B7">
        <w:rPr>
          <w:lang w:val="es-AR"/>
        </w:rPr>
        <w:t>situación de recaudación efectiva respecto a la potencial p</w:t>
      </w:r>
      <w:r w:rsidR="004D5918">
        <w:rPr>
          <w:lang w:val="es-AR"/>
        </w:rPr>
        <w:t>a</w:t>
      </w:r>
      <w:r w:rsidR="00D52B0C">
        <w:rPr>
          <w:lang w:val="es-AR"/>
        </w:rPr>
        <w:t>ra las provincias.</w:t>
      </w:r>
    </w:p>
    <w:p w14:paraId="30D7B639" w14:textId="0D74B83F" w:rsidR="00E547B7" w:rsidRPr="00EE621F" w:rsidRDefault="00E547B7" w:rsidP="00D52B0C">
      <w:pPr>
        <w:pStyle w:val="Ttulo1"/>
        <w:spacing w:beforeLines="60" w:before="144" w:afterLines="60" w:after="144"/>
        <w:ind w:firstLine="0"/>
        <w:rPr>
          <w:lang w:val="es-AR"/>
        </w:rPr>
      </w:pPr>
      <w:bookmarkStart w:id="8" w:name="_Toc491725415"/>
      <w:r w:rsidRPr="00EE621F">
        <w:rPr>
          <w:lang w:val="es-AR"/>
        </w:rPr>
        <w:t>CONCLUSIONES</w:t>
      </w:r>
      <w:bookmarkEnd w:id="8"/>
    </w:p>
    <w:p w14:paraId="071A8087" w14:textId="2B608F5B" w:rsidR="005D3A84" w:rsidRPr="00F90347" w:rsidRDefault="00F413C5" w:rsidP="008B5D7F">
      <w:pPr>
        <w:spacing w:line="240" w:lineRule="auto"/>
        <w:rPr>
          <w:lang w:val="es-AR"/>
        </w:rPr>
      </w:pPr>
      <w:r w:rsidRPr="00F90347">
        <w:rPr>
          <w:lang w:val="es-AR"/>
        </w:rPr>
        <w:t xml:space="preserve">El presente trabajo busca avanzar en la temática de la responsabilidad fiscal de las provincias argentinas, abordada por el lado del esfuerzo fiscal. Se presenta importante </w:t>
      </w:r>
      <w:r w:rsidR="00111CA3" w:rsidRPr="00F90347">
        <w:rPr>
          <w:lang w:val="es-AR"/>
        </w:rPr>
        <w:t>el avance en esta</w:t>
      </w:r>
      <w:r w:rsidRPr="00F90347">
        <w:rPr>
          <w:lang w:val="es-AR"/>
        </w:rPr>
        <w:t xml:space="preserve"> tem</w:t>
      </w:r>
      <w:r w:rsidR="00111CA3" w:rsidRPr="00F90347">
        <w:rPr>
          <w:lang w:val="es-AR"/>
        </w:rPr>
        <w:t>ática como base para desarrollar indicadores objetivos de distribución de la coparticipación federal entre la Nación y las provincias.</w:t>
      </w:r>
    </w:p>
    <w:p w14:paraId="63246BF7" w14:textId="5CAEF83E" w:rsidR="00414FD9" w:rsidRPr="00F90347" w:rsidRDefault="00111CA3" w:rsidP="008B5D7F">
      <w:pPr>
        <w:spacing w:line="240" w:lineRule="auto"/>
        <w:rPr>
          <w:lang w:val="es-AR"/>
        </w:rPr>
      </w:pPr>
      <w:r w:rsidRPr="00F90347">
        <w:rPr>
          <w:lang w:val="es-AR"/>
        </w:rPr>
        <w:lastRenderedPageBreak/>
        <w:t>En una primer</w:t>
      </w:r>
      <w:r w:rsidR="005002F9">
        <w:rPr>
          <w:lang w:val="es-AR"/>
        </w:rPr>
        <w:t>a</w:t>
      </w:r>
      <w:r w:rsidRPr="00F90347">
        <w:rPr>
          <w:lang w:val="es-AR"/>
        </w:rPr>
        <w:t xml:space="preserve"> parte se repasó la bibliografía existente de la temática, tanto de las definiciones teóricas del esfuerzo y capacidad fiscal, como de sus aproximaciones prácticas. Se pudo identificar cierto consenso en las definiciones teóricas de estos conceptos, pero las aproximaciones empíricas utilizadas por los autores difieren en gran medida. Por un lado esto se debe a los distintos criterios de los autores, pero también a que estas aproximaciones se encuentran condicionadas por las bases estadísticas disponibles, como así también por los tributos que recauda</w:t>
      </w:r>
      <w:r w:rsidR="00414FD9" w:rsidRPr="00F90347">
        <w:rPr>
          <w:lang w:val="es-AR"/>
        </w:rPr>
        <w:t>n los individuos</w:t>
      </w:r>
      <w:r w:rsidR="005002F9">
        <w:rPr>
          <w:lang w:val="es-AR"/>
        </w:rPr>
        <w:t xml:space="preserve"> (niveles de gobierno)</w:t>
      </w:r>
      <w:r w:rsidR="00414FD9" w:rsidRPr="00F90347">
        <w:rPr>
          <w:lang w:val="es-AR"/>
        </w:rPr>
        <w:t xml:space="preserve"> bajo análisis.</w:t>
      </w:r>
      <w:r w:rsidR="00A208FA">
        <w:rPr>
          <w:lang w:val="es-AR"/>
        </w:rPr>
        <w:t xml:space="preserve"> </w:t>
      </w:r>
      <w:r w:rsidR="00414FD9" w:rsidRPr="00F90347">
        <w:rPr>
          <w:lang w:val="es-AR"/>
        </w:rPr>
        <w:t>A continuación se procedió a realizar aproximaciones empíricas al cálculo de esfuerzo y capacidad fiscal para las provincias argentinas en el periodo 1993-2014. Para esto se desarrollaron dos aproximaciones de EF y dos de CF.</w:t>
      </w:r>
    </w:p>
    <w:p w14:paraId="772626FB" w14:textId="7232A2F2" w:rsidR="00CD4AB0" w:rsidRPr="00F90347" w:rsidRDefault="00CD4AB0" w:rsidP="008B5D7F">
      <w:pPr>
        <w:spacing w:line="240" w:lineRule="auto"/>
        <w:rPr>
          <w:lang w:val="es-AR"/>
        </w:rPr>
      </w:pPr>
      <w:r w:rsidRPr="00F90347">
        <w:rPr>
          <w:lang w:val="es-AR"/>
        </w:rPr>
        <w:t>Se puede destacar que para las dos aproximaciones de EF los resultados obtenidos, en términos relativos, son similares; sin embargo esto no ocurre en el caso de las dos aproximaciones elegidas para la CF.</w:t>
      </w:r>
    </w:p>
    <w:p w14:paraId="43625D50" w14:textId="0E68F8A9" w:rsidR="00763B8C" w:rsidRPr="00F90347" w:rsidRDefault="00CD4AB0" w:rsidP="008B5D7F">
      <w:pPr>
        <w:spacing w:line="240" w:lineRule="auto"/>
        <w:rPr>
          <w:lang w:val="es-AR"/>
        </w:rPr>
      </w:pPr>
      <w:r w:rsidRPr="00F90347">
        <w:rPr>
          <w:lang w:val="es-AR"/>
        </w:rPr>
        <w:t xml:space="preserve">Destacan como las provincias con EF superior al promedio durante más años CABA, Buenos Aires, Tierra del Fuego, Neuquén, Río Negro, Salta y Santa Fe. </w:t>
      </w:r>
      <w:r w:rsidR="00763B8C" w:rsidRPr="00F90347">
        <w:rPr>
          <w:lang w:val="es-AR"/>
        </w:rPr>
        <w:t>Las de EF inferior al promedio por más años se puede mencionar a Corrientes, Formosa, Jujuy, La Rioja, Chubut, Catamarca, La Pampa y Santiago del Estero.</w:t>
      </w:r>
      <w:r w:rsidR="00903BDD">
        <w:rPr>
          <w:lang w:val="es-AR"/>
        </w:rPr>
        <w:t xml:space="preserve"> </w:t>
      </w:r>
      <w:r w:rsidR="00763B8C" w:rsidRPr="00F90347">
        <w:rPr>
          <w:lang w:val="es-AR"/>
        </w:rPr>
        <w:t>Las provincias con mejor performance de EF en el periodo 1993 a 2014 (mejora) son Misiones, Tucumán y Chubut, y las de peor Catamarca, Tierra del Fuego y La Pampa.</w:t>
      </w:r>
      <w:r w:rsidR="00C1479C" w:rsidRPr="00F90347">
        <w:rPr>
          <w:lang w:val="es-AR"/>
        </w:rPr>
        <w:t xml:space="preserve"> En el periodo bajo análisis se observa que en general hay más provincias por debajo del EF promedio que por arriba, y un empeoramiento de los valores obtenidos para el periodo analizado.</w:t>
      </w:r>
    </w:p>
    <w:p w14:paraId="02674061" w14:textId="733A3021" w:rsidR="00C17902" w:rsidRPr="00F90347" w:rsidRDefault="00763B8C" w:rsidP="008B5D7F">
      <w:pPr>
        <w:spacing w:line="240" w:lineRule="auto"/>
        <w:rPr>
          <w:lang w:val="es-AR"/>
        </w:rPr>
      </w:pPr>
      <w:r w:rsidRPr="00F90347">
        <w:rPr>
          <w:lang w:val="es-AR"/>
        </w:rPr>
        <w:t>Por el lado de la capacidad fi</w:t>
      </w:r>
      <w:r w:rsidR="00C1479C" w:rsidRPr="00F90347">
        <w:rPr>
          <w:lang w:val="es-AR"/>
        </w:rPr>
        <w:t>scal las mejores performances las presentaron Catamarca, Santa Cruz y Neuquén, mientras que las peores Tucumán y La Rioja según ambos ratios y CABA según el PBG y San Juan según CF1.</w:t>
      </w:r>
      <w:r w:rsidR="00903BDD">
        <w:rPr>
          <w:lang w:val="es-AR"/>
        </w:rPr>
        <w:t xml:space="preserve"> </w:t>
      </w:r>
      <w:r w:rsidR="00C17902" w:rsidRPr="00F90347">
        <w:rPr>
          <w:lang w:val="es-AR"/>
        </w:rPr>
        <w:t xml:space="preserve">Respecto a la cantidad de años que se encuentran las provincias sobre el promedio de capacidad fiscal, según el PBG CABA, Buenos Aires, Santa Fe y Córdoba </w:t>
      </w:r>
      <w:r w:rsidR="001571C4" w:rsidRPr="00F90347">
        <w:rPr>
          <w:lang w:val="es-AR"/>
        </w:rPr>
        <w:t>son aquellas que han tenido CF superior al promedio la mayor cantidad de años, mientras que según CF1 han sido CABA, Chubut, La Pampa, Neuquén, Santa Cruz y Tierra del Fuego.</w:t>
      </w:r>
      <w:r w:rsidR="00173B22" w:rsidRPr="00F90347">
        <w:rPr>
          <w:lang w:val="es-AR"/>
        </w:rPr>
        <w:t xml:space="preserve"> En el periodo analizado, más provincias se encuentran por debajo de la capacidad fiscal promedio que por arriba, y según CF1 el crecimiento promedio de la capacidad fiscal de 1993 a 2014 ha sido casi nulo (levemente negativo).</w:t>
      </w:r>
    </w:p>
    <w:p w14:paraId="27434C14" w14:textId="3BB2ACD9" w:rsidR="00844C87" w:rsidRPr="00F90347" w:rsidRDefault="00844C87" w:rsidP="008B5D7F">
      <w:pPr>
        <w:spacing w:line="240" w:lineRule="auto"/>
        <w:rPr>
          <w:lang w:val="es-AR"/>
        </w:rPr>
      </w:pPr>
      <w:r w:rsidRPr="00F90347">
        <w:rPr>
          <w:lang w:val="es-AR"/>
        </w:rPr>
        <w:t>A través del cálculo de correlaciones se encontró que existe una relación positiva entre ingresos propios y capacidad fiscal de las provincias argentinas, como se planteó en la hipótesis, mientras que las transferencias no automáticas evidencian una relación negativa con el esfuerzo fiscal, también corroborando la hipótesis planteada.</w:t>
      </w:r>
      <w:r w:rsidR="001C438F">
        <w:rPr>
          <w:lang w:val="es-AR"/>
        </w:rPr>
        <w:t xml:space="preserve"> </w:t>
      </w:r>
      <w:r w:rsidRPr="00F90347">
        <w:rPr>
          <w:lang w:val="es-AR"/>
        </w:rPr>
        <w:t xml:space="preserve">Por otro lado, la relación entre la capacidad fiscal y el esfuerzo fiscal dio positiva, </w:t>
      </w:r>
      <w:r w:rsidR="001C438F">
        <w:rPr>
          <w:lang w:val="es-AR"/>
        </w:rPr>
        <w:t>no corroborando la hipótesis planteada</w:t>
      </w:r>
      <w:r w:rsidRPr="00F90347">
        <w:rPr>
          <w:lang w:val="es-AR"/>
        </w:rPr>
        <w:t>.</w:t>
      </w:r>
    </w:p>
    <w:p w14:paraId="3BA86708" w14:textId="5045A7E7" w:rsidR="009A4592" w:rsidRPr="00F90347" w:rsidRDefault="00711B7E" w:rsidP="008B5D7F">
      <w:pPr>
        <w:spacing w:line="240" w:lineRule="auto"/>
        <w:rPr>
          <w:lang w:val="es-AR"/>
        </w:rPr>
      </w:pPr>
      <w:r w:rsidRPr="00F90347">
        <w:rPr>
          <w:lang w:val="es-AR"/>
        </w:rPr>
        <w:t>A continuación s</w:t>
      </w:r>
      <w:r w:rsidR="001C438F">
        <w:rPr>
          <w:lang w:val="es-AR"/>
        </w:rPr>
        <w:t>e realizó una aproximación al esfuerzo fiscal</w:t>
      </w:r>
      <w:r w:rsidRPr="00F90347">
        <w:rPr>
          <w:lang w:val="es-AR"/>
        </w:rPr>
        <w:t xml:space="preserve"> a través de una estimación econométrica de datos de panel por efectos fijos. </w:t>
      </w:r>
      <w:r w:rsidR="009A4592" w:rsidRPr="00F90347">
        <w:rPr>
          <w:lang w:val="es-AR"/>
        </w:rPr>
        <w:t>Las provincias que presentan esfuerzo fiscal positivo mayor cantidad de años son Chubut, La Pampa, Neuquén, Río Negro, San Luis, Tierra del Fuego, Santa Cruz y CABA.</w:t>
      </w:r>
    </w:p>
    <w:p w14:paraId="6AF03B42" w14:textId="46856816" w:rsidR="00711B7E" w:rsidRPr="00F90347" w:rsidRDefault="009A4592" w:rsidP="008B5D7F">
      <w:pPr>
        <w:spacing w:line="240" w:lineRule="auto"/>
        <w:rPr>
          <w:lang w:val="es-AR"/>
        </w:rPr>
      </w:pPr>
      <w:r w:rsidRPr="00F90347">
        <w:rPr>
          <w:lang w:val="es-AR"/>
        </w:rPr>
        <w:t>Los resultados obtenidos a través de este análisis difieren de los obtenidos a través del cálculo de ratios, lo que corrobora que de acuerdo a la metodología utilizada para los cálculos será el resultado obtenido.</w:t>
      </w:r>
    </w:p>
    <w:p w14:paraId="30A089FE" w14:textId="2D1D99C2" w:rsidR="00E37AF3" w:rsidRPr="00F90347" w:rsidRDefault="00E37AF3" w:rsidP="008B5D7F">
      <w:pPr>
        <w:spacing w:line="240" w:lineRule="auto"/>
        <w:rPr>
          <w:lang w:val="es-AR"/>
        </w:rPr>
      </w:pPr>
      <w:r w:rsidRPr="00F90347">
        <w:rPr>
          <w:lang w:val="es-AR"/>
        </w:rPr>
        <w:t>De acuerdo a los resultados obtenidos por las distintas aproximaciones, pareciera que es difícil revertir una situación fiscal determinada dado que en general las provincias mantuvieron su posición relativa al promedio</w:t>
      </w:r>
      <w:r w:rsidR="001C438F">
        <w:rPr>
          <w:lang w:val="es-AR"/>
        </w:rPr>
        <w:t xml:space="preserve"> en todo el periodo analizado</w:t>
      </w:r>
      <w:r w:rsidRPr="00F90347">
        <w:rPr>
          <w:lang w:val="es-AR"/>
        </w:rPr>
        <w:t xml:space="preserve">. Esto resalta la importancia de lograr una situación fiscal adecuada </w:t>
      </w:r>
      <w:r w:rsidR="00C9457B" w:rsidRPr="00F90347">
        <w:rPr>
          <w:lang w:val="es-AR"/>
        </w:rPr>
        <w:t>dada la dificultad de realizar cambios</w:t>
      </w:r>
      <w:r w:rsidR="001C438F">
        <w:rPr>
          <w:lang w:val="es-AR"/>
        </w:rPr>
        <w:t xml:space="preserve"> en la situación relativa en términos de esfuerzo fiscal</w:t>
      </w:r>
      <w:r w:rsidR="00C9457B" w:rsidRPr="00F90347">
        <w:rPr>
          <w:lang w:val="es-AR"/>
        </w:rPr>
        <w:t>.</w:t>
      </w:r>
    </w:p>
    <w:p w14:paraId="79783442" w14:textId="286F371E" w:rsidR="00A774CA" w:rsidRPr="001C438F" w:rsidRDefault="00F90347" w:rsidP="008B5D7F">
      <w:pPr>
        <w:spacing w:line="240" w:lineRule="auto"/>
        <w:rPr>
          <w:lang w:val="es-AR"/>
        </w:rPr>
      </w:pPr>
      <w:r w:rsidRPr="00F90347">
        <w:rPr>
          <w:rFonts w:cstheme="minorHAnsi"/>
          <w:lang w:val="es-AR"/>
        </w:rPr>
        <w:lastRenderedPageBreak/>
        <w:t xml:space="preserve">Es importante destacar que si bien se presenta una primera aproximación al esfuerzo fiscal de las provincias argentinas, es necesario seguir avanzando en la investigación en esta temática para poder extraer conclusiones que permitan tomar decisiones </w:t>
      </w:r>
      <w:r w:rsidR="001C438F">
        <w:rPr>
          <w:rFonts w:cstheme="minorHAnsi"/>
          <w:lang w:val="es-AR"/>
        </w:rPr>
        <w:t>de</w:t>
      </w:r>
      <w:r w:rsidRPr="00F90347">
        <w:rPr>
          <w:rFonts w:cstheme="minorHAnsi"/>
          <w:lang w:val="es-AR"/>
        </w:rPr>
        <w:t xml:space="preserve"> política tributaria, como así también s</w:t>
      </w:r>
      <w:r w:rsidR="00905DD1" w:rsidRPr="00F90347">
        <w:rPr>
          <w:lang w:val="es-AR"/>
        </w:rPr>
        <w:t>e presenta necesario</w:t>
      </w:r>
      <w:r w:rsidR="001E526B" w:rsidRPr="00F90347">
        <w:rPr>
          <w:lang w:val="es-AR"/>
        </w:rPr>
        <w:t xml:space="preserve"> complementar el análisis realizado con análisis </w:t>
      </w:r>
      <w:r w:rsidR="00905DD1" w:rsidRPr="00F90347">
        <w:rPr>
          <w:lang w:val="es-AR"/>
        </w:rPr>
        <w:t>de los</w:t>
      </w:r>
      <w:r w:rsidRPr="00F90347">
        <w:rPr>
          <w:lang w:val="es-AR"/>
        </w:rPr>
        <w:t xml:space="preserve"> distintos tipos de</w:t>
      </w:r>
      <w:r w:rsidR="00905DD1" w:rsidRPr="00F90347">
        <w:rPr>
          <w:lang w:val="es-AR"/>
        </w:rPr>
        <w:t xml:space="preserve"> gastos de las provincias de forma de avanzar en la temática de </w:t>
      </w:r>
      <w:r w:rsidR="001E526B" w:rsidRPr="00F90347">
        <w:rPr>
          <w:lang w:val="es-AR"/>
        </w:rPr>
        <w:t>correspondencia fiscal</w:t>
      </w:r>
      <w:r w:rsidR="00954480" w:rsidRPr="00F90347">
        <w:rPr>
          <w:lang w:val="es-AR"/>
        </w:rPr>
        <w:t>.</w:t>
      </w:r>
    </w:p>
    <w:p w14:paraId="3B8894B6" w14:textId="327455E4" w:rsidR="002B075A" w:rsidRPr="00020515" w:rsidRDefault="00F162F4" w:rsidP="00D52B0C">
      <w:pPr>
        <w:pStyle w:val="Ttulo1"/>
        <w:spacing w:before="60" w:after="60"/>
        <w:ind w:firstLine="0"/>
        <w:rPr>
          <w:lang w:val="es-AR"/>
        </w:rPr>
      </w:pPr>
      <w:bookmarkStart w:id="9" w:name="_Toc491725416"/>
      <w:r w:rsidRPr="00020515">
        <w:rPr>
          <w:lang w:val="es-AR"/>
        </w:rPr>
        <w:t xml:space="preserve">REFERENCIAS </w:t>
      </w:r>
      <w:r w:rsidR="002B075A" w:rsidRPr="00020515">
        <w:rPr>
          <w:lang w:val="es-AR"/>
        </w:rPr>
        <w:t>BIBLIOGR</w:t>
      </w:r>
      <w:r w:rsidRPr="00020515">
        <w:rPr>
          <w:lang w:val="es-AR"/>
        </w:rPr>
        <w:t>ÁFICAS</w:t>
      </w:r>
      <w:bookmarkEnd w:id="9"/>
    </w:p>
    <w:p w14:paraId="42209E75" w14:textId="679CDE28" w:rsidR="002167BE" w:rsidRDefault="002167BE" w:rsidP="00D52B0C">
      <w:pPr>
        <w:spacing w:after="0" w:line="240" w:lineRule="auto"/>
        <w:ind w:left="720" w:hanging="720"/>
        <w:rPr>
          <w:noProof/>
          <w:lang w:val="es-AR" w:eastAsia="es-MX"/>
        </w:rPr>
      </w:pPr>
      <w:r>
        <w:rPr>
          <w:noProof/>
          <w:lang w:val="es-AR" w:eastAsia="es-MX"/>
        </w:rPr>
        <w:t xml:space="preserve">DÍAZ, Santiago, </w:t>
      </w:r>
      <w:r w:rsidRPr="002167BE">
        <w:rPr>
          <w:i/>
          <w:noProof/>
          <w:lang w:val="es-AR" w:eastAsia="es-MX"/>
        </w:rPr>
        <w:t>Las instituciones y otros determinantes del Esfuerzo Fiscal de los Municipios Argentinos</w:t>
      </w:r>
      <w:r>
        <w:rPr>
          <w:noProof/>
          <w:lang w:val="es-AR" w:eastAsia="es-MX"/>
        </w:rPr>
        <w:t>, 47º Jornadas Internacionales de Finanzas Públicas, Córdoba, 2014.</w:t>
      </w:r>
    </w:p>
    <w:p w14:paraId="6155B7A3" w14:textId="4BB2D566" w:rsidR="008C1BE2" w:rsidRDefault="008C1BE2" w:rsidP="00D52B0C">
      <w:pPr>
        <w:spacing w:after="0" w:line="240" w:lineRule="auto"/>
        <w:ind w:left="720" w:hanging="720"/>
        <w:rPr>
          <w:noProof/>
          <w:lang w:val="es-AR" w:eastAsia="es-MX"/>
        </w:rPr>
      </w:pPr>
      <w:r>
        <w:rPr>
          <w:noProof/>
          <w:lang w:val="es-AR" w:eastAsia="es-MX"/>
        </w:rPr>
        <w:t xml:space="preserve">FERREIRA, Marisa R., El catastro territorial en la República Argentina. Visto en </w:t>
      </w:r>
      <w:r w:rsidRPr="008C1BE2">
        <w:rPr>
          <w:noProof/>
          <w:lang w:val="es-AR" w:eastAsia="es-MX"/>
        </w:rPr>
        <w:t>http://www.agrimensoft.com.ar/descargas/ctra.pdf</w:t>
      </w:r>
    </w:p>
    <w:p w14:paraId="7B8A1F79" w14:textId="77777777" w:rsidR="001F459E" w:rsidRPr="001F459E" w:rsidRDefault="001F459E" w:rsidP="00D52B0C">
      <w:pPr>
        <w:spacing w:after="0" w:line="240" w:lineRule="auto"/>
        <w:ind w:left="720" w:hanging="720"/>
        <w:rPr>
          <w:noProof/>
          <w:lang w:val="es-AR" w:eastAsia="es-MX"/>
        </w:rPr>
      </w:pPr>
      <w:r w:rsidRPr="001F459E">
        <w:rPr>
          <w:noProof/>
          <w:lang w:val="es-AR" w:eastAsia="es-MX"/>
        </w:rPr>
        <w:t xml:space="preserve">FERRERES, Orlando J., </w:t>
      </w:r>
      <w:r w:rsidRPr="001F459E">
        <w:rPr>
          <w:i/>
          <w:noProof/>
          <w:lang w:val="es-AR" w:eastAsia="es-MX"/>
        </w:rPr>
        <w:t>Dos siglos de economía argentina. (1810-2010). Edición Bicentenario. Historia Argentina en cifras</w:t>
      </w:r>
      <w:r w:rsidRPr="001F459E">
        <w:rPr>
          <w:noProof/>
          <w:lang w:val="es-AR" w:eastAsia="es-MX"/>
        </w:rPr>
        <w:t>, Buenos Aires, Coedición de El Ateneo y Fundación Norte y Sur, 2010.</w:t>
      </w:r>
    </w:p>
    <w:p w14:paraId="2839F54C" w14:textId="77777777" w:rsidR="00DC30BB" w:rsidRPr="001F459E" w:rsidRDefault="00DC30BB" w:rsidP="00D52B0C">
      <w:pPr>
        <w:spacing w:after="0" w:line="240" w:lineRule="auto"/>
        <w:ind w:left="720" w:hanging="720"/>
        <w:rPr>
          <w:noProof/>
          <w:lang w:val="es-AR" w:eastAsia="es-MX"/>
        </w:rPr>
      </w:pPr>
      <w:r w:rsidRPr="001F459E">
        <w:rPr>
          <w:noProof/>
          <w:lang w:val="es-AR" w:eastAsia="es-MX"/>
        </w:rPr>
        <w:t xml:space="preserve">JOHNSON, Freda S., y ROSWICK, Diana L., </w:t>
      </w:r>
      <w:r w:rsidRPr="001F459E">
        <w:rPr>
          <w:i/>
          <w:noProof/>
          <w:lang w:val="es-AR" w:eastAsia="es-MX"/>
        </w:rPr>
        <w:t>Capacidad Fiscal local</w:t>
      </w:r>
      <w:r w:rsidRPr="001F459E">
        <w:rPr>
          <w:noProof/>
          <w:lang w:val="es-AR" w:eastAsia="es-MX"/>
        </w:rPr>
        <w:t>, Revista Internacional de Presupuesto Público – ASIP, Año XXVII, Marzo-Abril, 2000.</w:t>
      </w:r>
    </w:p>
    <w:p w14:paraId="33CA5111" w14:textId="77777777" w:rsidR="00DC30BB" w:rsidRDefault="00DC30BB" w:rsidP="00D52B0C">
      <w:pPr>
        <w:spacing w:after="0" w:line="240" w:lineRule="auto"/>
        <w:ind w:left="720" w:hanging="720"/>
        <w:rPr>
          <w:noProof/>
          <w:lang w:val="es-MX" w:eastAsia="es-MX"/>
        </w:rPr>
      </w:pPr>
      <w:r w:rsidRPr="001F459E">
        <w:rPr>
          <w:noProof/>
          <w:lang w:val="es-MX" w:eastAsia="es-MX"/>
        </w:rPr>
        <w:t xml:space="preserve">LOPEZ CASASNOVAS, Guillem, y CASTELLANOS MADUELL, Albert, </w:t>
      </w:r>
      <w:r w:rsidRPr="001F459E">
        <w:rPr>
          <w:i/>
          <w:noProof/>
          <w:lang w:val="es-MX" w:eastAsia="es-MX"/>
        </w:rPr>
        <w:t>Aproximación al concepto de esfuerzo fiscal</w:t>
      </w:r>
      <w:r w:rsidRPr="001F459E">
        <w:rPr>
          <w:noProof/>
          <w:lang w:val="es-MX" w:eastAsia="es-MX"/>
        </w:rPr>
        <w:t>, Centre de Recerca en Economia i Salut (CRES), (Barcelona, España, 2002).</w:t>
      </w:r>
    </w:p>
    <w:p w14:paraId="26B18997" w14:textId="5E518001" w:rsidR="008C1BE2" w:rsidRDefault="008C1BE2" w:rsidP="00D52B0C">
      <w:pPr>
        <w:spacing w:after="0" w:line="240" w:lineRule="auto"/>
        <w:ind w:left="720" w:hanging="720"/>
        <w:rPr>
          <w:noProof/>
          <w:lang w:val="es-MX" w:eastAsia="es-MX"/>
        </w:rPr>
      </w:pPr>
      <w:r>
        <w:rPr>
          <w:noProof/>
          <w:lang w:val="es-MX" w:eastAsia="es-MX"/>
        </w:rPr>
        <w:t xml:space="preserve">Ministerio del Interior y Transporte, 2015. </w:t>
      </w:r>
      <w:r w:rsidRPr="00346139">
        <w:rPr>
          <w:i/>
          <w:noProof/>
          <w:lang w:val="es-MX" w:eastAsia="es-MX"/>
        </w:rPr>
        <w:t>La estructura de la recaudación municipal de la Argentina: alcances, limitaciones y desafíos</w:t>
      </w:r>
      <w:r w:rsidR="00DA6DC3">
        <w:rPr>
          <w:noProof/>
          <w:lang w:val="es-MX" w:eastAsia="es-MX"/>
        </w:rPr>
        <w:t xml:space="preserve">. Buenos Aires. López Acotto, Alejandro, Macchioli, Mariano, y otros. Recuperado de </w:t>
      </w:r>
      <w:hyperlink r:id="rId17" w:history="1">
        <w:r w:rsidR="00346139" w:rsidRPr="005E1FED">
          <w:rPr>
            <w:rStyle w:val="Hipervnculo"/>
            <w:noProof/>
            <w:lang w:val="es-MX" w:eastAsia="es-MX"/>
          </w:rPr>
          <w:t>https://www.mininterior.gov.ar/municipios/pdfs/Estructura%20Recaudacion%20Municipal.pdf</w:t>
        </w:r>
      </w:hyperlink>
    </w:p>
    <w:p w14:paraId="41593FC4" w14:textId="77777777" w:rsidR="00DC30BB" w:rsidRPr="001F459E" w:rsidRDefault="00DC30BB" w:rsidP="00D52B0C">
      <w:pPr>
        <w:spacing w:after="0" w:line="240" w:lineRule="auto"/>
        <w:ind w:left="720" w:hanging="720"/>
        <w:rPr>
          <w:noProof/>
          <w:lang w:val="es-MX" w:eastAsia="es-MX"/>
        </w:rPr>
      </w:pPr>
      <w:r w:rsidRPr="001F459E">
        <w:rPr>
          <w:noProof/>
          <w:lang w:val="es-MX" w:eastAsia="es-MX"/>
        </w:rPr>
        <w:t xml:space="preserve">RABELL GARCIA, Enrique, </w:t>
      </w:r>
      <w:r w:rsidRPr="001F459E">
        <w:rPr>
          <w:i/>
          <w:noProof/>
          <w:lang w:val="es-MX" w:eastAsia="es-MX"/>
        </w:rPr>
        <w:t>Federalismo fiscal en México</w:t>
      </w:r>
      <w:r w:rsidRPr="001F459E">
        <w:rPr>
          <w:noProof/>
          <w:lang w:val="es-MX" w:eastAsia="es-MX"/>
        </w:rPr>
        <w:t>, Universidad Autónoma de Querétaro, (Santiago de Querétaro, México, 2010).</w:t>
      </w:r>
    </w:p>
    <w:p w14:paraId="70D56AA6" w14:textId="77777777" w:rsidR="00DC30BB" w:rsidRPr="001F459E" w:rsidRDefault="00DC30BB" w:rsidP="00D52B0C">
      <w:pPr>
        <w:spacing w:after="0" w:line="240" w:lineRule="auto"/>
        <w:ind w:left="720" w:hanging="720"/>
        <w:rPr>
          <w:noProof/>
          <w:lang w:val="es-MX" w:eastAsia="es-MX"/>
        </w:rPr>
      </w:pPr>
      <w:r w:rsidRPr="001F459E">
        <w:rPr>
          <w:noProof/>
          <w:lang w:val="es-MX" w:eastAsia="es-MX"/>
        </w:rPr>
        <w:t xml:space="preserve">RAMÍREZ RODRIGUEZ, Roberto, y ERQUIZIO ESPINAL, Alfredo, </w:t>
      </w:r>
      <w:r w:rsidRPr="001F459E">
        <w:rPr>
          <w:i/>
          <w:noProof/>
          <w:lang w:val="es-MX" w:eastAsia="es-MX"/>
        </w:rPr>
        <w:t>Capacidad y esfuerzo fiscal en las entidades federativas en México: medición y determinantes</w:t>
      </w:r>
      <w:r w:rsidRPr="001F459E">
        <w:rPr>
          <w:noProof/>
          <w:lang w:val="es-MX" w:eastAsia="es-MX"/>
        </w:rPr>
        <w:t>,Paradigma económico, Año 3 Núm. 1, enero-junio 2011.</w:t>
      </w:r>
    </w:p>
    <w:p w14:paraId="52BE74F1" w14:textId="77777777" w:rsidR="00DC30BB" w:rsidRDefault="00DC30BB" w:rsidP="00D52B0C">
      <w:pPr>
        <w:spacing w:after="0" w:line="240" w:lineRule="auto"/>
        <w:ind w:left="720" w:hanging="720"/>
        <w:rPr>
          <w:noProof/>
          <w:lang w:val="es-MX" w:eastAsia="es-MX"/>
        </w:rPr>
      </w:pPr>
      <w:r w:rsidRPr="001F459E">
        <w:rPr>
          <w:noProof/>
          <w:lang w:val="es-MX" w:eastAsia="es-MX"/>
        </w:rPr>
        <w:t xml:space="preserve">SOUR, Laura, </w:t>
      </w:r>
      <w:r w:rsidRPr="001F459E">
        <w:rPr>
          <w:i/>
          <w:noProof/>
          <w:lang w:val="es-MX" w:eastAsia="es-MX"/>
        </w:rPr>
        <w:t>Un repaso de los conceptos sobre capacidad y esfuerzo fiscal, y su aplicación en los gobiernos locales mexicanos</w:t>
      </w:r>
      <w:r w:rsidRPr="001F459E">
        <w:rPr>
          <w:noProof/>
          <w:lang w:val="es-MX" w:eastAsia="es-MX"/>
        </w:rPr>
        <w:t>, Estudios demográficos y urbanos, El Colegio de México, (Distrito Federal, México, 2008).</w:t>
      </w:r>
    </w:p>
    <w:p w14:paraId="32F29DED" w14:textId="77777777" w:rsidR="003047A4" w:rsidRDefault="003047A4" w:rsidP="00D52B0C">
      <w:pPr>
        <w:spacing w:line="240" w:lineRule="auto"/>
        <w:ind w:left="720" w:hanging="720"/>
        <w:rPr>
          <w:noProof/>
          <w:lang w:val="es-MX" w:eastAsia="es-MX"/>
        </w:rPr>
      </w:pPr>
      <w:r>
        <w:rPr>
          <w:noProof/>
          <w:lang w:val="es-MX" w:eastAsia="es-MX"/>
        </w:rPr>
        <w:t>VEGA, Juan A., DIBLASI, Juan V., y GOLZÁLEZ OROZCO, Matías F., Coparticipación Federal: Distribución primaria y secundaria. Indicadores objetivos de reparto. Anal 2016 Asociación Argentina de Economía Política, 2016.</w:t>
      </w:r>
    </w:p>
    <w:p w14:paraId="20A15A33" w14:textId="77777777" w:rsidR="003047A4" w:rsidRDefault="003047A4" w:rsidP="00D52B0C">
      <w:pPr>
        <w:spacing w:line="240" w:lineRule="auto"/>
        <w:ind w:left="720" w:hanging="720"/>
        <w:rPr>
          <w:noProof/>
          <w:lang w:val="es-MX" w:eastAsia="es-MX"/>
        </w:rPr>
      </w:pPr>
      <w:r>
        <w:rPr>
          <w:noProof/>
          <w:lang w:val="es-MX" w:eastAsia="es-MX"/>
        </w:rPr>
        <w:t xml:space="preserve">VEGA, Juan A., y RUSSO, Eduardo A., </w:t>
      </w:r>
      <w:r w:rsidRPr="00B64CB3">
        <w:rPr>
          <w:i/>
          <w:noProof/>
          <w:lang w:val="es-MX" w:eastAsia="es-MX"/>
        </w:rPr>
        <w:t>Coparticipación Federal. Propuesta de indicadores objetivos de reparto</w:t>
      </w:r>
      <w:r>
        <w:rPr>
          <w:noProof/>
          <w:lang w:val="es-MX" w:eastAsia="es-MX"/>
        </w:rPr>
        <w:t>, Anal 2004 Asociación Argentina de Economía Política, 2004.</w:t>
      </w:r>
    </w:p>
    <w:p w14:paraId="690E2CD8" w14:textId="62ED5EFB" w:rsidR="003047A4" w:rsidRPr="00856869" w:rsidRDefault="003047A4" w:rsidP="00D52B0C">
      <w:pPr>
        <w:spacing w:line="240" w:lineRule="auto"/>
        <w:ind w:left="720" w:hanging="720"/>
        <w:rPr>
          <w:noProof/>
          <w:lang w:val="es-AR" w:eastAsia="es-MX"/>
        </w:rPr>
      </w:pPr>
      <w:r w:rsidRPr="003047A4">
        <w:rPr>
          <w:noProof/>
          <w:lang w:eastAsia="es-MX"/>
        </w:rPr>
        <w:t>WOOLRIDGE, Jeffrey M., Econometric analysis of cross section and panel data</w:t>
      </w:r>
      <w:r>
        <w:rPr>
          <w:noProof/>
          <w:lang w:eastAsia="es-MX"/>
        </w:rPr>
        <w:t xml:space="preserve">. </w:t>
      </w:r>
      <w:r w:rsidR="00207FDE" w:rsidRPr="00856869">
        <w:rPr>
          <w:noProof/>
          <w:lang w:val="es-AR" w:eastAsia="es-MX"/>
        </w:rPr>
        <w:t>The MIT Press, Cambridge, Massachusetts-London, England. 2002.</w:t>
      </w:r>
    </w:p>
    <w:p w14:paraId="7BB17D41" w14:textId="77777777" w:rsidR="00DC30BB" w:rsidRPr="001F459E" w:rsidRDefault="00DC30BB" w:rsidP="00D52B0C">
      <w:pPr>
        <w:spacing w:after="0" w:line="240" w:lineRule="auto"/>
        <w:ind w:left="720" w:hanging="720"/>
        <w:rPr>
          <w:noProof/>
          <w:lang w:val="es-MX" w:eastAsia="es-MX"/>
        </w:rPr>
      </w:pPr>
      <w:r w:rsidRPr="001F459E">
        <w:rPr>
          <w:noProof/>
          <w:lang w:val="es-MX" w:eastAsia="es-MX"/>
        </w:rPr>
        <w:t xml:space="preserve">ZABALZA, A., y LASHERAS, M. A., </w:t>
      </w:r>
      <w:r w:rsidRPr="001F459E">
        <w:rPr>
          <w:i/>
          <w:noProof/>
          <w:lang w:val="es-MX" w:eastAsia="es-MX"/>
        </w:rPr>
        <w:t>Índices territoriales de esfuerzo fiscal en el IRPF: Concepto y medidas alternativas</w:t>
      </w:r>
      <w:r w:rsidRPr="001F459E">
        <w:rPr>
          <w:noProof/>
          <w:lang w:val="es-MX" w:eastAsia="es-MX"/>
        </w:rPr>
        <w:t xml:space="preserve">, 1999. Visto en </w:t>
      </w:r>
      <w:hyperlink r:id="rId18" w:history="1">
        <w:r w:rsidRPr="001F459E">
          <w:rPr>
            <w:rStyle w:val="Hipervnculo"/>
            <w:noProof/>
            <w:lang w:val="es-MX" w:eastAsia="es-MX"/>
          </w:rPr>
          <w:t>http://dialnet.unirioja.es/servlet/articulo?codigo=3143704</w:t>
        </w:r>
      </w:hyperlink>
      <w:r w:rsidRPr="001F459E">
        <w:rPr>
          <w:noProof/>
          <w:lang w:val="es-MX" w:eastAsia="es-MX"/>
        </w:rPr>
        <w:t xml:space="preserve"> .</w:t>
      </w:r>
    </w:p>
    <w:p w14:paraId="39DFD702" w14:textId="77777777" w:rsidR="00F2242D" w:rsidRDefault="0015542A" w:rsidP="00D52B0C">
      <w:pPr>
        <w:spacing w:line="240" w:lineRule="auto"/>
        <w:ind w:left="720" w:hanging="720"/>
        <w:rPr>
          <w:noProof/>
          <w:lang w:val="es-MX" w:eastAsia="es-MX"/>
        </w:rPr>
      </w:pPr>
      <w:r w:rsidRPr="001F459E">
        <w:rPr>
          <w:noProof/>
          <w:lang w:val="es-MX" w:eastAsia="es-MX"/>
        </w:rPr>
        <w:t xml:space="preserve">ZAPATA, Juan Antonio, </w:t>
      </w:r>
      <w:r w:rsidRPr="001F459E">
        <w:rPr>
          <w:i/>
          <w:iCs/>
          <w:noProof/>
          <w:lang w:val="es-MX" w:eastAsia="es-MX"/>
        </w:rPr>
        <w:t>Análisis relacionando el marco teórico propuesto bajo el modelo de equidad y la actual estructura tributaria nacional según los niveles descentralizados para determinar factores claves en el diseño de políticas de descentralización</w:t>
      </w:r>
      <w:r w:rsidRPr="001F459E">
        <w:rPr>
          <w:noProof/>
          <w:lang w:val="es-MX" w:eastAsia="es-MX"/>
        </w:rPr>
        <w:t>,  Programa de Asistencia Técnica – AT PASES (2012).</w:t>
      </w:r>
    </w:p>
    <w:sectPr w:rsidR="00F2242D" w:rsidSect="00A15E16">
      <w:footerReference w:type="default" r:id="rId1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9E2131" w14:textId="77777777" w:rsidR="007E203A" w:rsidRDefault="007E203A" w:rsidP="00DA6CE5">
      <w:pPr>
        <w:spacing w:after="0" w:line="240" w:lineRule="auto"/>
      </w:pPr>
      <w:r>
        <w:separator/>
      </w:r>
    </w:p>
  </w:endnote>
  <w:endnote w:type="continuationSeparator" w:id="0">
    <w:p w14:paraId="1BB12482" w14:textId="77777777" w:rsidR="007E203A" w:rsidRDefault="007E203A" w:rsidP="00DA6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3675307"/>
      <w:docPartObj>
        <w:docPartGallery w:val="Page Numbers (Bottom of Page)"/>
        <w:docPartUnique/>
      </w:docPartObj>
    </w:sdtPr>
    <w:sdtContent>
      <w:p w14:paraId="52D28820" w14:textId="77777777" w:rsidR="00EE621F" w:rsidRDefault="00EE621F">
        <w:pPr>
          <w:pStyle w:val="Piedepgina"/>
          <w:jc w:val="right"/>
        </w:pPr>
        <w:r>
          <w:fldChar w:fldCharType="begin"/>
        </w:r>
        <w:r>
          <w:instrText>PAGE   \* MERGEFORMAT</w:instrText>
        </w:r>
        <w:r>
          <w:fldChar w:fldCharType="separate"/>
        </w:r>
        <w:r w:rsidR="00BD47B1" w:rsidRPr="00BD47B1">
          <w:rPr>
            <w:noProof/>
            <w:lang w:val="es-ES"/>
          </w:rPr>
          <w:t>33</w:t>
        </w:r>
        <w:r>
          <w:fldChar w:fldCharType="end"/>
        </w:r>
      </w:p>
    </w:sdtContent>
  </w:sdt>
  <w:p w14:paraId="71BD2776" w14:textId="77777777" w:rsidR="00EE621F" w:rsidRDefault="00EE621F" w:rsidP="00DA6CE5">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F149DF" w14:textId="77777777" w:rsidR="007E203A" w:rsidRDefault="007E203A" w:rsidP="00DA6CE5">
      <w:pPr>
        <w:spacing w:after="0" w:line="240" w:lineRule="auto"/>
      </w:pPr>
      <w:r>
        <w:separator/>
      </w:r>
    </w:p>
  </w:footnote>
  <w:footnote w:type="continuationSeparator" w:id="0">
    <w:p w14:paraId="3A75268A" w14:textId="77777777" w:rsidR="007E203A" w:rsidRDefault="007E203A" w:rsidP="00DA6CE5">
      <w:pPr>
        <w:spacing w:after="0" w:line="240" w:lineRule="auto"/>
      </w:pPr>
      <w:r>
        <w:continuationSeparator/>
      </w:r>
    </w:p>
  </w:footnote>
  <w:footnote w:id="1">
    <w:p w14:paraId="37DDE95C" w14:textId="77777777" w:rsidR="00EE621F" w:rsidRPr="00F441E7" w:rsidRDefault="00EE621F" w:rsidP="006B4121">
      <w:pPr>
        <w:pStyle w:val="Textonotapie"/>
      </w:pPr>
      <w:r>
        <w:rPr>
          <w:rStyle w:val="Refdenotaalpie"/>
        </w:rPr>
        <w:footnoteRef/>
      </w:r>
      <w:r w:rsidRPr="00F441E7">
        <w:t xml:space="preserve"> El presente trabajo corresponde a la tesis de grado de la autora y fue realizado con la tutoría de los profesores Juan A. Vega y M. Florencia Gabrielli.</w:t>
      </w:r>
    </w:p>
  </w:footnote>
  <w:footnote w:id="2">
    <w:p w14:paraId="211DE6BA" w14:textId="0A4EB674" w:rsidR="00EE621F" w:rsidRPr="001E5207" w:rsidRDefault="00EE621F" w:rsidP="002F1563">
      <w:pPr>
        <w:pStyle w:val="Textonotapie"/>
        <w:ind w:firstLine="0"/>
        <w:rPr>
          <w:lang w:val="es-AR"/>
        </w:rPr>
      </w:pPr>
      <w:r>
        <w:rPr>
          <w:rStyle w:val="Refdenotaalpie"/>
        </w:rPr>
        <w:footnoteRef/>
      </w:r>
      <w:r>
        <w:t xml:space="preserve"> </w:t>
      </w:r>
      <w:r w:rsidRPr="005D3343">
        <w:rPr>
          <w:i/>
        </w:rPr>
        <w:t>“El hecho de que el índice se refiera a un solo impuesto, definido legalmente de manera uniforme para todas las Comunidades Autónomas, obvia los problemas interpretativos que aparecerían si la legislación fiscal permitiera diferencias que afectaran a la escala de tipos, a la definición de la base imponible o a las deducciones personales”.</w:t>
      </w:r>
      <w:r w:rsidRPr="004C7327">
        <w:t xml:space="preserve"> (Zabalza y Lasheras, 1999).</w:t>
      </w:r>
    </w:p>
  </w:footnote>
  <w:footnote w:id="3">
    <w:p w14:paraId="6D77BDAF" w14:textId="59D174B8" w:rsidR="00EE621F" w:rsidRPr="001D22F9" w:rsidRDefault="00EE621F" w:rsidP="002F1563">
      <w:pPr>
        <w:pStyle w:val="Textonotapie"/>
        <w:ind w:firstLine="0"/>
        <w:rPr>
          <w:lang w:val="es-AR"/>
        </w:rPr>
      </w:pPr>
      <w:r>
        <w:rPr>
          <w:rStyle w:val="Refdenotaalpie"/>
        </w:rPr>
        <w:footnoteRef/>
      </w:r>
      <w:r>
        <w:t xml:space="preserve"> </w:t>
      </w:r>
      <w:r w:rsidRPr="002C0E7B">
        <w:rPr>
          <w:lang w:val="es-AR"/>
        </w:rPr>
        <w:t>ACIR es la Comisión de Consejo en Relaciones Intergubernamentales de Estados Unidos (U.S. Advisory Commission on Intergovernmental Relations).</w:t>
      </w:r>
    </w:p>
  </w:footnote>
  <w:footnote w:id="4">
    <w:p w14:paraId="124E94A7" w14:textId="05F51FE6" w:rsidR="00EE621F" w:rsidRPr="00A54AC8" w:rsidRDefault="00EE621F" w:rsidP="000108E1">
      <w:pPr>
        <w:pStyle w:val="Textonotapie"/>
        <w:ind w:firstLine="0"/>
        <w:rPr>
          <w:color w:val="FF0000"/>
        </w:rPr>
      </w:pPr>
      <w:r>
        <w:rPr>
          <w:rStyle w:val="Refdenotaalpie"/>
        </w:rPr>
        <w:footnoteRef/>
      </w:r>
      <w:r>
        <w:t xml:space="preserve"> No se exponen los diversos resultados presentes en la bibliografía existente debido, principalmente, a que no se distingue una relación específica de los índices con las variables analizadas dada la disparidad de resultados obtenidos por los distintos autores.</w:t>
      </w:r>
    </w:p>
  </w:footnote>
  <w:footnote w:id="5">
    <w:p w14:paraId="75EC99AD" w14:textId="4F5AF876" w:rsidR="00EE621F" w:rsidRPr="00511A4B" w:rsidRDefault="00EE621F" w:rsidP="00464CE9">
      <w:pPr>
        <w:pStyle w:val="Textonotapie"/>
        <w:ind w:firstLine="0"/>
      </w:pPr>
      <w:r>
        <w:rPr>
          <w:rStyle w:val="Refdenotaalpie"/>
        </w:rPr>
        <w:footnoteRef/>
      </w:r>
      <w:r>
        <w:t xml:space="preserve"> Para las transferencias no automáticas se encontró datos sólo para el periodo 1995-2011.</w:t>
      </w:r>
    </w:p>
  </w:footnote>
  <w:footnote w:id="6">
    <w:p w14:paraId="2A845537" w14:textId="43D942E2" w:rsidR="00EE621F" w:rsidRPr="00E121BD" w:rsidRDefault="00EE621F" w:rsidP="000108E1">
      <w:pPr>
        <w:pStyle w:val="Textonotapie"/>
        <w:ind w:firstLine="0"/>
      </w:pPr>
      <w:r>
        <w:rPr>
          <w:rStyle w:val="Refdenotaalpie"/>
        </w:rPr>
        <w:footnoteRef/>
      </w:r>
      <w:r>
        <w:t xml:space="preserve"> Cuando se trabaje con PBG relativo en el presente trabajo, se estará haciendo referencia al PBG de cada comunidad sobre la suma de los PBG de las comunidades y no sobre el PBI nacional. Dado que la suma de los PBG provinciales no coincide con el valor del PBI nacional, se considera importante en pos de la homogeneidad de datos trabajar con la suma de los PBG individuales, de forma tal que la suma de la participación relativa de los distintos PBG provinciales sea igual a 1, como resulta en el caso de ingresos brutos relativos.</w:t>
      </w:r>
    </w:p>
  </w:footnote>
  <w:footnote w:id="7">
    <w:p w14:paraId="63015493" w14:textId="77777777" w:rsidR="00EE621F" w:rsidRPr="00C13AE4" w:rsidRDefault="00EE621F" w:rsidP="002F1563">
      <w:pPr>
        <w:pStyle w:val="Textonotapie"/>
        <w:ind w:firstLine="0"/>
      </w:pPr>
      <w:r>
        <w:rPr>
          <w:rStyle w:val="Refdenotaalpie"/>
        </w:rPr>
        <w:footnoteRef/>
      </w:r>
      <w:r>
        <w:t xml:space="preserve"> Es importante tener presente que todos los valores de PBG han sido expresados en pesos constantes de 1993.</w:t>
      </w:r>
    </w:p>
  </w:footnote>
  <w:footnote w:id="8">
    <w:p w14:paraId="11DCAA24" w14:textId="77777777" w:rsidR="00EE621F" w:rsidRPr="00BB30A6" w:rsidRDefault="00EE621F" w:rsidP="004D5918">
      <w:pPr>
        <w:pStyle w:val="Textonotapie"/>
        <w:ind w:firstLine="0"/>
        <w:rPr>
          <w:lang w:val="es-ES"/>
        </w:rPr>
      </w:pPr>
      <w:r>
        <w:rPr>
          <w:rStyle w:val="Refdenotaalpie"/>
        </w:rPr>
        <w:footnoteRef/>
      </w:r>
      <w:r>
        <w:t xml:space="preserve"> Los supuestos clásicos sobre el término de error son: media cero, varianza constante y ausencia de correlación serial.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228F6"/>
    <w:multiLevelType w:val="hybridMultilevel"/>
    <w:tmpl w:val="72B2A13A"/>
    <w:lvl w:ilvl="0" w:tplc="8DCEC2D2">
      <w:start w:val="1"/>
      <w:numFmt w:val="decimal"/>
      <w:lvlText w:val="Tabla 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C3367"/>
    <w:multiLevelType w:val="hybridMultilevel"/>
    <w:tmpl w:val="9222B62C"/>
    <w:lvl w:ilvl="0" w:tplc="B1440678">
      <w:start w:val="1"/>
      <w:numFmt w:val="decimal"/>
      <w:lvlText w:val="%1."/>
      <w:lvlJc w:val="left"/>
      <w:pPr>
        <w:ind w:left="1429" w:hanging="360"/>
      </w:pPr>
      <w:rPr>
        <w:rFonts w:hint="default"/>
      </w:rPr>
    </w:lvl>
    <w:lvl w:ilvl="1" w:tplc="2C0A0019" w:tentative="1">
      <w:start w:val="1"/>
      <w:numFmt w:val="lowerLetter"/>
      <w:lvlText w:val="%2."/>
      <w:lvlJc w:val="left"/>
      <w:pPr>
        <w:ind w:left="2149" w:hanging="360"/>
      </w:pPr>
    </w:lvl>
    <w:lvl w:ilvl="2" w:tplc="2C0A001B" w:tentative="1">
      <w:start w:val="1"/>
      <w:numFmt w:val="lowerRoman"/>
      <w:lvlText w:val="%3."/>
      <w:lvlJc w:val="right"/>
      <w:pPr>
        <w:ind w:left="2869" w:hanging="180"/>
      </w:pPr>
    </w:lvl>
    <w:lvl w:ilvl="3" w:tplc="2C0A000F" w:tentative="1">
      <w:start w:val="1"/>
      <w:numFmt w:val="decimal"/>
      <w:lvlText w:val="%4."/>
      <w:lvlJc w:val="left"/>
      <w:pPr>
        <w:ind w:left="3589" w:hanging="360"/>
      </w:pPr>
    </w:lvl>
    <w:lvl w:ilvl="4" w:tplc="2C0A0019" w:tentative="1">
      <w:start w:val="1"/>
      <w:numFmt w:val="lowerLetter"/>
      <w:lvlText w:val="%5."/>
      <w:lvlJc w:val="left"/>
      <w:pPr>
        <w:ind w:left="4309" w:hanging="360"/>
      </w:pPr>
    </w:lvl>
    <w:lvl w:ilvl="5" w:tplc="2C0A001B" w:tentative="1">
      <w:start w:val="1"/>
      <w:numFmt w:val="lowerRoman"/>
      <w:lvlText w:val="%6."/>
      <w:lvlJc w:val="right"/>
      <w:pPr>
        <w:ind w:left="5029" w:hanging="180"/>
      </w:pPr>
    </w:lvl>
    <w:lvl w:ilvl="6" w:tplc="2C0A000F" w:tentative="1">
      <w:start w:val="1"/>
      <w:numFmt w:val="decimal"/>
      <w:lvlText w:val="%7."/>
      <w:lvlJc w:val="left"/>
      <w:pPr>
        <w:ind w:left="5749" w:hanging="360"/>
      </w:pPr>
    </w:lvl>
    <w:lvl w:ilvl="7" w:tplc="2C0A0019" w:tentative="1">
      <w:start w:val="1"/>
      <w:numFmt w:val="lowerLetter"/>
      <w:lvlText w:val="%8."/>
      <w:lvlJc w:val="left"/>
      <w:pPr>
        <w:ind w:left="6469" w:hanging="360"/>
      </w:pPr>
    </w:lvl>
    <w:lvl w:ilvl="8" w:tplc="2C0A001B" w:tentative="1">
      <w:start w:val="1"/>
      <w:numFmt w:val="lowerRoman"/>
      <w:lvlText w:val="%9."/>
      <w:lvlJc w:val="right"/>
      <w:pPr>
        <w:ind w:left="7189" w:hanging="180"/>
      </w:pPr>
    </w:lvl>
  </w:abstractNum>
  <w:abstractNum w:abstractNumId="2" w15:restartNumberingAfterBreak="0">
    <w:nsid w:val="09CB5524"/>
    <w:multiLevelType w:val="hybridMultilevel"/>
    <w:tmpl w:val="276A6A76"/>
    <w:lvl w:ilvl="0" w:tplc="A8DA66CC">
      <w:start w:val="1"/>
      <w:numFmt w:val="decimal"/>
      <w:lvlText w:val="Tabla 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172F5"/>
    <w:multiLevelType w:val="hybridMultilevel"/>
    <w:tmpl w:val="092AEF32"/>
    <w:lvl w:ilvl="0" w:tplc="A8DA66CC">
      <w:start w:val="1"/>
      <w:numFmt w:val="decimal"/>
      <w:lvlText w:val="Tabla 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460D3F"/>
    <w:multiLevelType w:val="hybridMultilevel"/>
    <w:tmpl w:val="27B4818A"/>
    <w:lvl w:ilvl="0" w:tplc="88B2BECA">
      <w:start w:val="1"/>
      <w:numFmt w:val="decimal"/>
      <w:lvlText w:val="Tabl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26586C"/>
    <w:multiLevelType w:val="hybridMultilevel"/>
    <w:tmpl w:val="D958A0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083FD5"/>
    <w:multiLevelType w:val="hybridMultilevel"/>
    <w:tmpl w:val="38B00B10"/>
    <w:lvl w:ilvl="0" w:tplc="A8DA66CC">
      <w:start w:val="1"/>
      <w:numFmt w:val="decimal"/>
      <w:lvlText w:val="Tabla 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A54741"/>
    <w:multiLevelType w:val="hybridMultilevel"/>
    <w:tmpl w:val="B88ECD7C"/>
    <w:lvl w:ilvl="0" w:tplc="8DCEC2D2">
      <w:start w:val="1"/>
      <w:numFmt w:val="decimal"/>
      <w:lvlText w:val="Tabla 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925F5A"/>
    <w:multiLevelType w:val="hybridMultilevel"/>
    <w:tmpl w:val="A9F0F392"/>
    <w:lvl w:ilvl="0" w:tplc="8DCEC2D2">
      <w:start w:val="1"/>
      <w:numFmt w:val="decimal"/>
      <w:lvlText w:val="Tabla 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3D014B"/>
    <w:multiLevelType w:val="hybridMultilevel"/>
    <w:tmpl w:val="8766C798"/>
    <w:lvl w:ilvl="0" w:tplc="A8DA66CC">
      <w:start w:val="1"/>
      <w:numFmt w:val="decimal"/>
      <w:lvlText w:val="Tabla 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B70799"/>
    <w:multiLevelType w:val="hybridMultilevel"/>
    <w:tmpl w:val="68645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CC21922"/>
    <w:multiLevelType w:val="hybridMultilevel"/>
    <w:tmpl w:val="B3683718"/>
    <w:lvl w:ilvl="0" w:tplc="8DCEC2D2">
      <w:start w:val="1"/>
      <w:numFmt w:val="decimal"/>
      <w:lvlText w:val="Tabla 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394551"/>
    <w:multiLevelType w:val="hybridMultilevel"/>
    <w:tmpl w:val="EEFE25DA"/>
    <w:lvl w:ilvl="0" w:tplc="8DCEC2D2">
      <w:start w:val="1"/>
      <w:numFmt w:val="decimal"/>
      <w:lvlText w:val="Tabla 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3202A8"/>
    <w:multiLevelType w:val="hybridMultilevel"/>
    <w:tmpl w:val="1E726FD4"/>
    <w:lvl w:ilvl="0" w:tplc="A8DA66CC">
      <w:start w:val="1"/>
      <w:numFmt w:val="decimal"/>
      <w:lvlText w:val="Tabla 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8F5ED8"/>
    <w:multiLevelType w:val="hybridMultilevel"/>
    <w:tmpl w:val="00E0047E"/>
    <w:lvl w:ilvl="0" w:tplc="9F5C09B0">
      <w:start w:val="1"/>
      <w:numFmt w:val="decimal"/>
      <w:lvlText w:val="Tabla 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24488D"/>
    <w:multiLevelType w:val="multilevel"/>
    <w:tmpl w:val="0DF4B5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upperLetter"/>
      <w:lvlText w:val="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E182C8C"/>
    <w:multiLevelType w:val="hybridMultilevel"/>
    <w:tmpl w:val="41523C90"/>
    <w:lvl w:ilvl="0" w:tplc="A8DA66CC">
      <w:start w:val="1"/>
      <w:numFmt w:val="decimal"/>
      <w:lvlText w:val="Tabla 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F92C49"/>
    <w:multiLevelType w:val="hybridMultilevel"/>
    <w:tmpl w:val="5D5E588E"/>
    <w:lvl w:ilvl="0" w:tplc="A8DA66CC">
      <w:start w:val="1"/>
      <w:numFmt w:val="decimal"/>
      <w:lvlText w:val="Tabla 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C507CE"/>
    <w:multiLevelType w:val="hybridMultilevel"/>
    <w:tmpl w:val="224C3970"/>
    <w:lvl w:ilvl="0" w:tplc="8DCEC2D2">
      <w:start w:val="1"/>
      <w:numFmt w:val="decimal"/>
      <w:lvlText w:val="Tabla 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D804DF"/>
    <w:multiLevelType w:val="hybridMultilevel"/>
    <w:tmpl w:val="36420484"/>
    <w:lvl w:ilvl="0" w:tplc="B2F63BD4">
      <w:start w:val="1"/>
      <w:numFmt w:val="decimal"/>
      <w:lvlText w:val="Gráfico %1."/>
      <w:lvlJc w:val="left"/>
      <w:pPr>
        <w:ind w:left="785" w:hanging="360"/>
      </w:pPr>
      <w:rPr>
        <w:rFonts w:ascii="Calibri" w:hAnsi="Calibri" w:hint="default"/>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523312"/>
    <w:multiLevelType w:val="hybridMultilevel"/>
    <w:tmpl w:val="E30E3BF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5F3D79C5"/>
    <w:multiLevelType w:val="multilevel"/>
    <w:tmpl w:val="1236053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upperLetter"/>
      <w:lvlText w:val="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14272B3"/>
    <w:multiLevelType w:val="hybridMultilevel"/>
    <w:tmpl w:val="1CC2A59E"/>
    <w:lvl w:ilvl="0" w:tplc="A8DA66CC">
      <w:start w:val="1"/>
      <w:numFmt w:val="decimal"/>
      <w:lvlText w:val="Tabla 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CA5672"/>
    <w:multiLevelType w:val="hybridMultilevel"/>
    <w:tmpl w:val="42B6BCEA"/>
    <w:lvl w:ilvl="0" w:tplc="8DCEC2D2">
      <w:start w:val="1"/>
      <w:numFmt w:val="decimal"/>
      <w:lvlText w:val="Tabla 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5172CD"/>
    <w:multiLevelType w:val="hybridMultilevel"/>
    <w:tmpl w:val="E9FC2EA8"/>
    <w:lvl w:ilvl="0" w:tplc="A8DA66CC">
      <w:start w:val="1"/>
      <w:numFmt w:val="decimal"/>
      <w:lvlText w:val="Tabla 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F4620D"/>
    <w:multiLevelType w:val="hybridMultilevel"/>
    <w:tmpl w:val="98BE58DC"/>
    <w:lvl w:ilvl="0" w:tplc="8DCEC2D2">
      <w:start w:val="1"/>
      <w:numFmt w:val="decimal"/>
      <w:lvlText w:val="Tabla 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3227B2"/>
    <w:multiLevelType w:val="hybridMultilevel"/>
    <w:tmpl w:val="BB204CB8"/>
    <w:lvl w:ilvl="0" w:tplc="FBE2A41E">
      <w:start w:val="1"/>
      <w:numFmt w:val="decimal"/>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27" w15:restartNumberingAfterBreak="0">
    <w:nsid w:val="6C526550"/>
    <w:multiLevelType w:val="hybridMultilevel"/>
    <w:tmpl w:val="F580E4CA"/>
    <w:lvl w:ilvl="0" w:tplc="8DCEC2D2">
      <w:start w:val="1"/>
      <w:numFmt w:val="decimal"/>
      <w:lvlText w:val="Tabla 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A342DD"/>
    <w:multiLevelType w:val="hybridMultilevel"/>
    <w:tmpl w:val="CB728882"/>
    <w:lvl w:ilvl="0" w:tplc="8DCEC2D2">
      <w:start w:val="1"/>
      <w:numFmt w:val="decimal"/>
      <w:lvlText w:val="Tabla 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2D7E82"/>
    <w:multiLevelType w:val="hybridMultilevel"/>
    <w:tmpl w:val="1C763532"/>
    <w:lvl w:ilvl="0" w:tplc="8DCEC2D2">
      <w:start w:val="1"/>
      <w:numFmt w:val="decimal"/>
      <w:lvlText w:val="Tabla 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7D13FD"/>
    <w:multiLevelType w:val="hybridMultilevel"/>
    <w:tmpl w:val="1B502224"/>
    <w:lvl w:ilvl="0" w:tplc="8DCEC2D2">
      <w:start w:val="1"/>
      <w:numFmt w:val="decimal"/>
      <w:lvlText w:val="Tabla 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AA416D"/>
    <w:multiLevelType w:val="hybridMultilevel"/>
    <w:tmpl w:val="7D1C2310"/>
    <w:lvl w:ilvl="0" w:tplc="912CBF8A">
      <w:start w:val="1"/>
      <w:numFmt w:val="bullet"/>
      <w:lvlText w:val="•"/>
      <w:lvlJc w:val="left"/>
      <w:pPr>
        <w:tabs>
          <w:tab w:val="num" w:pos="720"/>
        </w:tabs>
        <w:ind w:left="720" w:hanging="360"/>
      </w:pPr>
      <w:rPr>
        <w:rFonts w:ascii="Arial" w:hAnsi="Arial" w:hint="default"/>
      </w:rPr>
    </w:lvl>
    <w:lvl w:ilvl="1" w:tplc="89B09A18">
      <w:start w:val="1"/>
      <w:numFmt w:val="bullet"/>
      <w:lvlText w:val="•"/>
      <w:lvlJc w:val="left"/>
      <w:pPr>
        <w:tabs>
          <w:tab w:val="num" w:pos="1440"/>
        </w:tabs>
        <w:ind w:left="1440" w:hanging="360"/>
      </w:pPr>
      <w:rPr>
        <w:rFonts w:ascii="Arial" w:hAnsi="Arial" w:hint="default"/>
      </w:rPr>
    </w:lvl>
    <w:lvl w:ilvl="2" w:tplc="043238AE" w:tentative="1">
      <w:start w:val="1"/>
      <w:numFmt w:val="bullet"/>
      <w:lvlText w:val="•"/>
      <w:lvlJc w:val="left"/>
      <w:pPr>
        <w:tabs>
          <w:tab w:val="num" w:pos="2160"/>
        </w:tabs>
        <w:ind w:left="2160" w:hanging="360"/>
      </w:pPr>
      <w:rPr>
        <w:rFonts w:ascii="Arial" w:hAnsi="Arial" w:hint="default"/>
      </w:rPr>
    </w:lvl>
    <w:lvl w:ilvl="3" w:tplc="EEC838BC" w:tentative="1">
      <w:start w:val="1"/>
      <w:numFmt w:val="bullet"/>
      <w:lvlText w:val="•"/>
      <w:lvlJc w:val="left"/>
      <w:pPr>
        <w:tabs>
          <w:tab w:val="num" w:pos="2880"/>
        </w:tabs>
        <w:ind w:left="2880" w:hanging="360"/>
      </w:pPr>
      <w:rPr>
        <w:rFonts w:ascii="Arial" w:hAnsi="Arial" w:hint="default"/>
      </w:rPr>
    </w:lvl>
    <w:lvl w:ilvl="4" w:tplc="FFC4BCAA" w:tentative="1">
      <w:start w:val="1"/>
      <w:numFmt w:val="bullet"/>
      <w:lvlText w:val="•"/>
      <w:lvlJc w:val="left"/>
      <w:pPr>
        <w:tabs>
          <w:tab w:val="num" w:pos="3600"/>
        </w:tabs>
        <w:ind w:left="3600" w:hanging="360"/>
      </w:pPr>
      <w:rPr>
        <w:rFonts w:ascii="Arial" w:hAnsi="Arial" w:hint="default"/>
      </w:rPr>
    </w:lvl>
    <w:lvl w:ilvl="5" w:tplc="372849D0" w:tentative="1">
      <w:start w:val="1"/>
      <w:numFmt w:val="bullet"/>
      <w:lvlText w:val="•"/>
      <w:lvlJc w:val="left"/>
      <w:pPr>
        <w:tabs>
          <w:tab w:val="num" w:pos="4320"/>
        </w:tabs>
        <w:ind w:left="4320" w:hanging="360"/>
      </w:pPr>
      <w:rPr>
        <w:rFonts w:ascii="Arial" w:hAnsi="Arial" w:hint="default"/>
      </w:rPr>
    </w:lvl>
    <w:lvl w:ilvl="6" w:tplc="1DDCC548" w:tentative="1">
      <w:start w:val="1"/>
      <w:numFmt w:val="bullet"/>
      <w:lvlText w:val="•"/>
      <w:lvlJc w:val="left"/>
      <w:pPr>
        <w:tabs>
          <w:tab w:val="num" w:pos="5040"/>
        </w:tabs>
        <w:ind w:left="5040" w:hanging="360"/>
      </w:pPr>
      <w:rPr>
        <w:rFonts w:ascii="Arial" w:hAnsi="Arial" w:hint="default"/>
      </w:rPr>
    </w:lvl>
    <w:lvl w:ilvl="7" w:tplc="D5280A28" w:tentative="1">
      <w:start w:val="1"/>
      <w:numFmt w:val="bullet"/>
      <w:lvlText w:val="•"/>
      <w:lvlJc w:val="left"/>
      <w:pPr>
        <w:tabs>
          <w:tab w:val="num" w:pos="5760"/>
        </w:tabs>
        <w:ind w:left="5760" w:hanging="360"/>
      </w:pPr>
      <w:rPr>
        <w:rFonts w:ascii="Arial" w:hAnsi="Arial" w:hint="default"/>
      </w:rPr>
    </w:lvl>
    <w:lvl w:ilvl="8" w:tplc="1916E58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BFA7101"/>
    <w:multiLevelType w:val="hybridMultilevel"/>
    <w:tmpl w:val="454E0C9A"/>
    <w:lvl w:ilvl="0" w:tplc="33803BF2">
      <w:start w:val="1"/>
      <w:numFmt w:val="decimal"/>
      <w:lvlText w:val="Tabla 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AB5494"/>
    <w:multiLevelType w:val="hybridMultilevel"/>
    <w:tmpl w:val="189089F8"/>
    <w:lvl w:ilvl="0" w:tplc="8DCEC2D2">
      <w:start w:val="1"/>
      <w:numFmt w:val="decimal"/>
      <w:lvlText w:val="Tabla 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CA6094"/>
    <w:multiLevelType w:val="multilevel"/>
    <w:tmpl w:val="2C38D5B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upperLetter"/>
      <w:lvlText w:val="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0"/>
  </w:num>
  <w:num w:numId="2">
    <w:abstractNumId w:val="5"/>
  </w:num>
  <w:num w:numId="3">
    <w:abstractNumId w:val="20"/>
  </w:num>
  <w:num w:numId="4">
    <w:abstractNumId w:val="4"/>
  </w:num>
  <w:num w:numId="5">
    <w:abstractNumId w:val="19"/>
  </w:num>
  <w:num w:numId="6">
    <w:abstractNumId w:val="0"/>
  </w:num>
  <w:num w:numId="7">
    <w:abstractNumId w:val="3"/>
  </w:num>
  <w:num w:numId="8">
    <w:abstractNumId w:val="2"/>
  </w:num>
  <w:num w:numId="9">
    <w:abstractNumId w:val="17"/>
  </w:num>
  <w:num w:numId="10">
    <w:abstractNumId w:val="22"/>
  </w:num>
  <w:num w:numId="11">
    <w:abstractNumId w:val="9"/>
  </w:num>
  <w:num w:numId="12">
    <w:abstractNumId w:val="13"/>
  </w:num>
  <w:num w:numId="13">
    <w:abstractNumId w:val="16"/>
  </w:num>
  <w:num w:numId="14">
    <w:abstractNumId w:val="6"/>
  </w:num>
  <w:num w:numId="15">
    <w:abstractNumId w:val="24"/>
  </w:num>
  <w:num w:numId="16">
    <w:abstractNumId w:val="12"/>
  </w:num>
  <w:num w:numId="17">
    <w:abstractNumId w:val="7"/>
  </w:num>
  <w:num w:numId="18">
    <w:abstractNumId w:val="23"/>
  </w:num>
  <w:num w:numId="19">
    <w:abstractNumId w:val="30"/>
  </w:num>
  <w:num w:numId="20">
    <w:abstractNumId w:val="29"/>
  </w:num>
  <w:num w:numId="21">
    <w:abstractNumId w:val="33"/>
  </w:num>
  <w:num w:numId="22">
    <w:abstractNumId w:val="25"/>
  </w:num>
  <w:num w:numId="23">
    <w:abstractNumId w:val="27"/>
  </w:num>
  <w:num w:numId="24">
    <w:abstractNumId w:val="18"/>
  </w:num>
  <w:num w:numId="25">
    <w:abstractNumId w:val="8"/>
  </w:num>
  <w:num w:numId="26">
    <w:abstractNumId w:val="11"/>
  </w:num>
  <w:num w:numId="27">
    <w:abstractNumId w:val="28"/>
  </w:num>
  <w:num w:numId="28">
    <w:abstractNumId w:val="32"/>
  </w:num>
  <w:num w:numId="29">
    <w:abstractNumId w:val="14"/>
  </w:num>
  <w:num w:numId="30">
    <w:abstractNumId w:val="26"/>
  </w:num>
  <w:num w:numId="31">
    <w:abstractNumId w:val="1"/>
  </w:num>
  <w:num w:numId="32">
    <w:abstractNumId w:val="34"/>
  </w:num>
  <w:num w:numId="33">
    <w:abstractNumId w:val="15"/>
  </w:num>
  <w:num w:numId="34">
    <w:abstractNumId w:val="21"/>
  </w:num>
  <w:num w:numId="35">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CE5"/>
    <w:rsid w:val="00002376"/>
    <w:rsid w:val="00002C9C"/>
    <w:rsid w:val="00003D47"/>
    <w:rsid w:val="0000606C"/>
    <w:rsid w:val="000108E1"/>
    <w:rsid w:val="000113C8"/>
    <w:rsid w:val="00013A19"/>
    <w:rsid w:val="00014D2F"/>
    <w:rsid w:val="00016F3D"/>
    <w:rsid w:val="0001780A"/>
    <w:rsid w:val="00020515"/>
    <w:rsid w:val="0002396E"/>
    <w:rsid w:val="00027065"/>
    <w:rsid w:val="00027689"/>
    <w:rsid w:val="00030A71"/>
    <w:rsid w:val="000318FB"/>
    <w:rsid w:val="00032362"/>
    <w:rsid w:val="00032CC8"/>
    <w:rsid w:val="000336B8"/>
    <w:rsid w:val="0003643C"/>
    <w:rsid w:val="00043C3D"/>
    <w:rsid w:val="00045CB1"/>
    <w:rsid w:val="00046B80"/>
    <w:rsid w:val="00047A8B"/>
    <w:rsid w:val="0005664A"/>
    <w:rsid w:val="00056E1E"/>
    <w:rsid w:val="000620A1"/>
    <w:rsid w:val="00062749"/>
    <w:rsid w:val="00066D1B"/>
    <w:rsid w:val="00070048"/>
    <w:rsid w:val="000709AE"/>
    <w:rsid w:val="00071901"/>
    <w:rsid w:val="00071BD6"/>
    <w:rsid w:val="00074D9A"/>
    <w:rsid w:val="0007665F"/>
    <w:rsid w:val="0008006C"/>
    <w:rsid w:val="00081CA9"/>
    <w:rsid w:val="00082C0E"/>
    <w:rsid w:val="000857A9"/>
    <w:rsid w:val="00085BF0"/>
    <w:rsid w:val="00086405"/>
    <w:rsid w:val="00086BD9"/>
    <w:rsid w:val="00086C89"/>
    <w:rsid w:val="00091837"/>
    <w:rsid w:val="00092BE4"/>
    <w:rsid w:val="00092F78"/>
    <w:rsid w:val="000A2157"/>
    <w:rsid w:val="000A2E10"/>
    <w:rsid w:val="000A6264"/>
    <w:rsid w:val="000B3E04"/>
    <w:rsid w:val="000B4FBB"/>
    <w:rsid w:val="000B60EA"/>
    <w:rsid w:val="000B7B44"/>
    <w:rsid w:val="000C0BB0"/>
    <w:rsid w:val="000C6955"/>
    <w:rsid w:val="000D09AF"/>
    <w:rsid w:val="000D304B"/>
    <w:rsid w:val="000D3860"/>
    <w:rsid w:val="000F565C"/>
    <w:rsid w:val="000F740E"/>
    <w:rsid w:val="00100C43"/>
    <w:rsid w:val="00100E56"/>
    <w:rsid w:val="00101CAE"/>
    <w:rsid w:val="00106137"/>
    <w:rsid w:val="00106546"/>
    <w:rsid w:val="00110A65"/>
    <w:rsid w:val="00110E26"/>
    <w:rsid w:val="0011135B"/>
    <w:rsid w:val="00111CA3"/>
    <w:rsid w:val="001163CF"/>
    <w:rsid w:val="001171B1"/>
    <w:rsid w:val="001220C3"/>
    <w:rsid w:val="00122251"/>
    <w:rsid w:val="00124E5F"/>
    <w:rsid w:val="00125FC9"/>
    <w:rsid w:val="00126A7F"/>
    <w:rsid w:val="00131BF8"/>
    <w:rsid w:val="001335BF"/>
    <w:rsid w:val="00133766"/>
    <w:rsid w:val="00137E16"/>
    <w:rsid w:val="00140132"/>
    <w:rsid w:val="00140743"/>
    <w:rsid w:val="00140967"/>
    <w:rsid w:val="00147FAC"/>
    <w:rsid w:val="00150656"/>
    <w:rsid w:val="00151E64"/>
    <w:rsid w:val="00152CB4"/>
    <w:rsid w:val="00152D3B"/>
    <w:rsid w:val="0015542A"/>
    <w:rsid w:val="001571C4"/>
    <w:rsid w:val="001621E0"/>
    <w:rsid w:val="00164AA8"/>
    <w:rsid w:val="00166FDE"/>
    <w:rsid w:val="001674EE"/>
    <w:rsid w:val="001724B5"/>
    <w:rsid w:val="00173B22"/>
    <w:rsid w:val="0018675B"/>
    <w:rsid w:val="001901C6"/>
    <w:rsid w:val="001958BF"/>
    <w:rsid w:val="00195A27"/>
    <w:rsid w:val="001A07AE"/>
    <w:rsid w:val="001A63AC"/>
    <w:rsid w:val="001A6CCB"/>
    <w:rsid w:val="001A6FD1"/>
    <w:rsid w:val="001A723A"/>
    <w:rsid w:val="001B1023"/>
    <w:rsid w:val="001B45C5"/>
    <w:rsid w:val="001B61A2"/>
    <w:rsid w:val="001C1CA5"/>
    <w:rsid w:val="001C20D6"/>
    <w:rsid w:val="001C438F"/>
    <w:rsid w:val="001D016D"/>
    <w:rsid w:val="001D07FD"/>
    <w:rsid w:val="001D089B"/>
    <w:rsid w:val="001D134C"/>
    <w:rsid w:val="001D22F9"/>
    <w:rsid w:val="001D242C"/>
    <w:rsid w:val="001D3D3E"/>
    <w:rsid w:val="001D51D6"/>
    <w:rsid w:val="001D5834"/>
    <w:rsid w:val="001D6908"/>
    <w:rsid w:val="001D6DE8"/>
    <w:rsid w:val="001E047B"/>
    <w:rsid w:val="001E1BF4"/>
    <w:rsid w:val="001E1D10"/>
    <w:rsid w:val="001E2A9D"/>
    <w:rsid w:val="001E5207"/>
    <w:rsid w:val="001E526B"/>
    <w:rsid w:val="001E5617"/>
    <w:rsid w:val="001E5C05"/>
    <w:rsid w:val="001F0358"/>
    <w:rsid w:val="001F4341"/>
    <w:rsid w:val="001F459E"/>
    <w:rsid w:val="001F6ECD"/>
    <w:rsid w:val="0020113B"/>
    <w:rsid w:val="00201841"/>
    <w:rsid w:val="00207F99"/>
    <w:rsid w:val="00207FDE"/>
    <w:rsid w:val="00210D0D"/>
    <w:rsid w:val="00210F32"/>
    <w:rsid w:val="00211447"/>
    <w:rsid w:val="00212A00"/>
    <w:rsid w:val="002159E8"/>
    <w:rsid w:val="002167BE"/>
    <w:rsid w:val="00217B68"/>
    <w:rsid w:val="00222800"/>
    <w:rsid w:val="00223D6E"/>
    <w:rsid w:val="00223ECE"/>
    <w:rsid w:val="00230B49"/>
    <w:rsid w:val="00231F99"/>
    <w:rsid w:val="00233C68"/>
    <w:rsid w:val="0023626C"/>
    <w:rsid w:val="002425BC"/>
    <w:rsid w:val="00242A96"/>
    <w:rsid w:val="0024363A"/>
    <w:rsid w:val="002442BF"/>
    <w:rsid w:val="002464CD"/>
    <w:rsid w:val="00247AE0"/>
    <w:rsid w:val="00247CA9"/>
    <w:rsid w:val="00251440"/>
    <w:rsid w:val="0025540E"/>
    <w:rsid w:val="0025620D"/>
    <w:rsid w:val="00256428"/>
    <w:rsid w:val="00262BF7"/>
    <w:rsid w:val="0026478F"/>
    <w:rsid w:val="00264C9A"/>
    <w:rsid w:val="00265663"/>
    <w:rsid w:val="00266537"/>
    <w:rsid w:val="0026658D"/>
    <w:rsid w:val="00267A02"/>
    <w:rsid w:val="00267A1F"/>
    <w:rsid w:val="002709F9"/>
    <w:rsid w:val="0027197F"/>
    <w:rsid w:val="00273934"/>
    <w:rsid w:val="0027447D"/>
    <w:rsid w:val="002756A1"/>
    <w:rsid w:val="002778FD"/>
    <w:rsid w:val="00277FB0"/>
    <w:rsid w:val="002819CF"/>
    <w:rsid w:val="00286153"/>
    <w:rsid w:val="0029354A"/>
    <w:rsid w:val="002936DD"/>
    <w:rsid w:val="00296754"/>
    <w:rsid w:val="00297D2D"/>
    <w:rsid w:val="002A3676"/>
    <w:rsid w:val="002A3A58"/>
    <w:rsid w:val="002A3CA8"/>
    <w:rsid w:val="002A7672"/>
    <w:rsid w:val="002A7D2F"/>
    <w:rsid w:val="002B009B"/>
    <w:rsid w:val="002B075A"/>
    <w:rsid w:val="002B6EA7"/>
    <w:rsid w:val="002B7F00"/>
    <w:rsid w:val="002C0E7B"/>
    <w:rsid w:val="002C1B24"/>
    <w:rsid w:val="002C29D2"/>
    <w:rsid w:val="002C3711"/>
    <w:rsid w:val="002C48BF"/>
    <w:rsid w:val="002D542E"/>
    <w:rsid w:val="002E1468"/>
    <w:rsid w:val="002E47B8"/>
    <w:rsid w:val="002E4BE2"/>
    <w:rsid w:val="002E50BE"/>
    <w:rsid w:val="002F049C"/>
    <w:rsid w:val="002F11DA"/>
    <w:rsid w:val="002F1563"/>
    <w:rsid w:val="002F48A5"/>
    <w:rsid w:val="002F5560"/>
    <w:rsid w:val="002F717D"/>
    <w:rsid w:val="002F720D"/>
    <w:rsid w:val="00300072"/>
    <w:rsid w:val="00300714"/>
    <w:rsid w:val="0030134C"/>
    <w:rsid w:val="00303E90"/>
    <w:rsid w:val="0030426C"/>
    <w:rsid w:val="003046B5"/>
    <w:rsid w:val="003047A4"/>
    <w:rsid w:val="0030524B"/>
    <w:rsid w:val="0031143B"/>
    <w:rsid w:val="00322376"/>
    <w:rsid w:val="003264A9"/>
    <w:rsid w:val="00327267"/>
    <w:rsid w:val="00330D17"/>
    <w:rsid w:val="003356BE"/>
    <w:rsid w:val="003363FB"/>
    <w:rsid w:val="00340E7A"/>
    <w:rsid w:val="00341EA4"/>
    <w:rsid w:val="00343CF0"/>
    <w:rsid w:val="00346139"/>
    <w:rsid w:val="0035263B"/>
    <w:rsid w:val="00353FFC"/>
    <w:rsid w:val="00356518"/>
    <w:rsid w:val="0035685F"/>
    <w:rsid w:val="0035768D"/>
    <w:rsid w:val="003616CF"/>
    <w:rsid w:val="003636E6"/>
    <w:rsid w:val="0036535F"/>
    <w:rsid w:val="00366A37"/>
    <w:rsid w:val="0037204D"/>
    <w:rsid w:val="00375A92"/>
    <w:rsid w:val="003775EF"/>
    <w:rsid w:val="0037764C"/>
    <w:rsid w:val="00377806"/>
    <w:rsid w:val="0038051F"/>
    <w:rsid w:val="003837D3"/>
    <w:rsid w:val="00383C2F"/>
    <w:rsid w:val="0038481E"/>
    <w:rsid w:val="00386C22"/>
    <w:rsid w:val="00386D9B"/>
    <w:rsid w:val="00387CEC"/>
    <w:rsid w:val="00391B70"/>
    <w:rsid w:val="00393A1C"/>
    <w:rsid w:val="00395747"/>
    <w:rsid w:val="00397A43"/>
    <w:rsid w:val="003A43F9"/>
    <w:rsid w:val="003B2D85"/>
    <w:rsid w:val="003B2F58"/>
    <w:rsid w:val="003B3600"/>
    <w:rsid w:val="003B486B"/>
    <w:rsid w:val="003C038F"/>
    <w:rsid w:val="003C1BF4"/>
    <w:rsid w:val="003C418A"/>
    <w:rsid w:val="003D48D8"/>
    <w:rsid w:val="003D6FA1"/>
    <w:rsid w:val="003D7A1B"/>
    <w:rsid w:val="003E01DA"/>
    <w:rsid w:val="003E0A69"/>
    <w:rsid w:val="003E0EA5"/>
    <w:rsid w:val="003E347F"/>
    <w:rsid w:val="003E4AEA"/>
    <w:rsid w:val="003E6F1A"/>
    <w:rsid w:val="003E70C3"/>
    <w:rsid w:val="003F16A7"/>
    <w:rsid w:val="003F1CA2"/>
    <w:rsid w:val="003F5C9A"/>
    <w:rsid w:val="003F60C5"/>
    <w:rsid w:val="00400293"/>
    <w:rsid w:val="004002E6"/>
    <w:rsid w:val="004029FD"/>
    <w:rsid w:val="0040637C"/>
    <w:rsid w:val="00406AA3"/>
    <w:rsid w:val="00410B42"/>
    <w:rsid w:val="004121DC"/>
    <w:rsid w:val="00412C3E"/>
    <w:rsid w:val="004131BB"/>
    <w:rsid w:val="00414FD9"/>
    <w:rsid w:val="00424922"/>
    <w:rsid w:val="00425F4D"/>
    <w:rsid w:val="00440D11"/>
    <w:rsid w:val="00442165"/>
    <w:rsid w:val="00443673"/>
    <w:rsid w:val="004437A0"/>
    <w:rsid w:val="004438E0"/>
    <w:rsid w:val="004451EE"/>
    <w:rsid w:val="00445BAB"/>
    <w:rsid w:val="00445D39"/>
    <w:rsid w:val="0045253E"/>
    <w:rsid w:val="004537A1"/>
    <w:rsid w:val="00456943"/>
    <w:rsid w:val="00457D77"/>
    <w:rsid w:val="00464593"/>
    <w:rsid w:val="00464A6E"/>
    <w:rsid w:val="00464CE9"/>
    <w:rsid w:val="00466288"/>
    <w:rsid w:val="00467189"/>
    <w:rsid w:val="0048066A"/>
    <w:rsid w:val="004818EB"/>
    <w:rsid w:val="00481D74"/>
    <w:rsid w:val="00483D60"/>
    <w:rsid w:val="004875E5"/>
    <w:rsid w:val="00487A49"/>
    <w:rsid w:val="00490206"/>
    <w:rsid w:val="00491345"/>
    <w:rsid w:val="00491627"/>
    <w:rsid w:val="00491A0F"/>
    <w:rsid w:val="00493A5F"/>
    <w:rsid w:val="00494A56"/>
    <w:rsid w:val="00495991"/>
    <w:rsid w:val="004A7F2B"/>
    <w:rsid w:val="004C7327"/>
    <w:rsid w:val="004C7AD2"/>
    <w:rsid w:val="004D03E0"/>
    <w:rsid w:val="004D0A30"/>
    <w:rsid w:val="004D2FFA"/>
    <w:rsid w:val="004D402B"/>
    <w:rsid w:val="004D5918"/>
    <w:rsid w:val="004D64E1"/>
    <w:rsid w:val="004E0A6E"/>
    <w:rsid w:val="004E0F08"/>
    <w:rsid w:val="004E10B7"/>
    <w:rsid w:val="004E1D7A"/>
    <w:rsid w:val="004E4DA8"/>
    <w:rsid w:val="004F09E0"/>
    <w:rsid w:val="004F2363"/>
    <w:rsid w:val="004F5D64"/>
    <w:rsid w:val="005002F9"/>
    <w:rsid w:val="005004E0"/>
    <w:rsid w:val="00502257"/>
    <w:rsid w:val="00502416"/>
    <w:rsid w:val="005071BA"/>
    <w:rsid w:val="005105E6"/>
    <w:rsid w:val="00511A4B"/>
    <w:rsid w:val="0051214D"/>
    <w:rsid w:val="005138CD"/>
    <w:rsid w:val="00514B2E"/>
    <w:rsid w:val="00515E8A"/>
    <w:rsid w:val="005160D6"/>
    <w:rsid w:val="00521983"/>
    <w:rsid w:val="00523CB5"/>
    <w:rsid w:val="005305E2"/>
    <w:rsid w:val="00536EAB"/>
    <w:rsid w:val="0053750B"/>
    <w:rsid w:val="005407B1"/>
    <w:rsid w:val="00553BBA"/>
    <w:rsid w:val="00560412"/>
    <w:rsid w:val="005611D9"/>
    <w:rsid w:val="00563F3B"/>
    <w:rsid w:val="005645EA"/>
    <w:rsid w:val="00570572"/>
    <w:rsid w:val="00571082"/>
    <w:rsid w:val="00571582"/>
    <w:rsid w:val="00583E93"/>
    <w:rsid w:val="00584180"/>
    <w:rsid w:val="005843A5"/>
    <w:rsid w:val="00584EB1"/>
    <w:rsid w:val="00585557"/>
    <w:rsid w:val="005871C2"/>
    <w:rsid w:val="00592821"/>
    <w:rsid w:val="00594CEC"/>
    <w:rsid w:val="00596975"/>
    <w:rsid w:val="005A03AD"/>
    <w:rsid w:val="005A0942"/>
    <w:rsid w:val="005A5A41"/>
    <w:rsid w:val="005A727D"/>
    <w:rsid w:val="005A73F2"/>
    <w:rsid w:val="005B0CD4"/>
    <w:rsid w:val="005C1444"/>
    <w:rsid w:val="005C5DAF"/>
    <w:rsid w:val="005C6141"/>
    <w:rsid w:val="005D1EA4"/>
    <w:rsid w:val="005D208A"/>
    <w:rsid w:val="005D3343"/>
    <w:rsid w:val="005D3A84"/>
    <w:rsid w:val="005D4702"/>
    <w:rsid w:val="005D5612"/>
    <w:rsid w:val="005E0156"/>
    <w:rsid w:val="005E129C"/>
    <w:rsid w:val="005E3B80"/>
    <w:rsid w:val="005E69F6"/>
    <w:rsid w:val="005E6C7D"/>
    <w:rsid w:val="005F008D"/>
    <w:rsid w:val="005F1BD4"/>
    <w:rsid w:val="005F2D73"/>
    <w:rsid w:val="005F5434"/>
    <w:rsid w:val="005F5648"/>
    <w:rsid w:val="00600A97"/>
    <w:rsid w:val="00602A00"/>
    <w:rsid w:val="00603910"/>
    <w:rsid w:val="00604C8D"/>
    <w:rsid w:val="00607B91"/>
    <w:rsid w:val="00612E43"/>
    <w:rsid w:val="00613CBB"/>
    <w:rsid w:val="0061467D"/>
    <w:rsid w:val="00623407"/>
    <w:rsid w:val="006256E5"/>
    <w:rsid w:val="006270B7"/>
    <w:rsid w:val="006309EA"/>
    <w:rsid w:val="00631A1A"/>
    <w:rsid w:val="00633223"/>
    <w:rsid w:val="006409B8"/>
    <w:rsid w:val="006432E0"/>
    <w:rsid w:val="00663F7D"/>
    <w:rsid w:val="0066503F"/>
    <w:rsid w:val="00667625"/>
    <w:rsid w:val="0067648D"/>
    <w:rsid w:val="00676C23"/>
    <w:rsid w:val="00677B34"/>
    <w:rsid w:val="00682E87"/>
    <w:rsid w:val="00685400"/>
    <w:rsid w:val="00685542"/>
    <w:rsid w:val="00685AB2"/>
    <w:rsid w:val="00693C9F"/>
    <w:rsid w:val="00693F75"/>
    <w:rsid w:val="0069510F"/>
    <w:rsid w:val="006A0AD8"/>
    <w:rsid w:val="006A5729"/>
    <w:rsid w:val="006A7574"/>
    <w:rsid w:val="006B0D8E"/>
    <w:rsid w:val="006B3E3B"/>
    <w:rsid w:val="006B4121"/>
    <w:rsid w:val="006B4C89"/>
    <w:rsid w:val="006B7D30"/>
    <w:rsid w:val="006C2D59"/>
    <w:rsid w:val="006C760F"/>
    <w:rsid w:val="006D28B2"/>
    <w:rsid w:val="006D2BF4"/>
    <w:rsid w:val="006D4889"/>
    <w:rsid w:val="006D4CC7"/>
    <w:rsid w:val="006E0E43"/>
    <w:rsid w:val="006E7C9F"/>
    <w:rsid w:val="006E7FE1"/>
    <w:rsid w:val="006F3A8D"/>
    <w:rsid w:val="006F43F8"/>
    <w:rsid w:val="007020A4"/>
    <w:rsid w:val="0070404F"/>
    <w:rsid w:val="00711B7E"/>
    <w:rsid w:val="007133A4"/>
    <w:rsid w:val="00715029"/>
    <w:rsid w:val="007163AB"/>
    <w:rsid w:val="00716978"/>
    <w:rsid w:val="007211B6"/>
    <w:rsid w:val="00722A08"/>
    <w:rsid w:val="00727A21"/>
    <w:rsid w:val="00727D5A"/>
    <w:rsid w:val="007334D3"/>
    <w:rsid w:val="007359B7"/>
    <w:rsid w:val="007412D6"/>
    <w:rsid w:val="007466C6"/>
    <w:rsid w:val="00751C90"/>
    <w:rsid w:val="0076144A"/>
    <w:rsid w:val="00763B8C"/>
    <w:rsid w:val="00771139"/>
    <w:rsid w:val="0077128E"/>
    <w:rsid w:val="0077356D"/>
    <w:rsid w:val="00775A1A"/>
    <w:rsid w:val="007817B5"/>
    <w:rsid w:val="00782C39"/>
    <w:rsid w:val="00783704"/>
    <w:rsid w:val="00787166"/>
    <w:rsid w:val="00795BE7"/>
    <w:rsid w:val="007A0D8F"/>
    <w:rsid w:val="007A18E8"/>
    <w:rsid w:val="007A23A2"/>
    <w:rsid w:val="007A566B"/>
    <w:rsid w:val="007B38DD"/>
    <w:rsid w:val="007B4500"/>
    <w:rsid w:val="007B4889"/>
    <w:rsid w:val="007C5EE0"/>
    <w:rsid w:val="007D7A4E"/>
    <w:rsid w:val="007E138A"/>
    <w:rsid w:val="007E1D77"/>
    <w:rsid w:val="007E203A"/>
    <w:rsid w:val="007E2F3B"/>
    <w:rsid w:val="007E44EF"/>
    <w:rsid w:val="007E77F0"/>
    <w:rsid w:val="007E7FAD"/>
    <w:rsid w:val="007F2ABF"/>
    <w:rsid w:val="008000AA"/>
    <w:rsid w:val="00800977"/>
    <w:rsid w:val="00800E2F"/>
    <w:rsid w:val="008023AB"/>
    <w:rsid w:val="00804D09"/>
    <w:rsid w:val="008059E3"/>
    <w:rsid w:val="00807FE5"/>
    <w:rsid w:val="00812821"/>
    <w:rsid w:val="00813D06"/>
    <w:rsid w:val="0081493E"/>
    <w:rsid w:val="008151FC"/>
    <w:rsid w:val="0081773A"/>
    <w:rsid w:val="00821359"/>
    <w:rsid w:val="008215FD"/>
    <w:rsid w:val="00821C3B"/>
    <w:rsid w:val="00832642"/>
    <w:rsid w:val="00835CD6"/>
    <w:rsid w:val="00837BAC"/>
    <w:rsid w:val="0084145F"/>
    <w:rsid w:val="008421BC"/>
    <w:rsid w:val="00844C87"/>
    <w:rsid w:val="0084550A"/>
    <w:rsid w:val="00847114"/>
    <w:rsid w:val="008473DE"/>
    <w:rsid w:val="00851205"/>
    <w:rsid w:val="008513EB"/>
    <w:rsid w:val="0085284B"/>
    <w:rsid w:val="00856869"/>
    <w:rsid w:val="00857720"/>
    <w:rsid w:val="00860384"/>
    <w:rsid w:val="0086308C"/>
    <w:rsid w:val="00865AAC"/>
    <w:rsid w:val="00866815"/>
    <w:rsid w:val="00870A47"/>
    <w:rsid w:val="00871CCD"/>
    <w:rsid w:val="00875F82"/>
    <w:rsid w:val="00876258"/>
    <w:rsid w:val="00876393"/>
    <w:rsid w:val="0088412F"/>
    <w:rsid w:val="008848E3"/>
    <w:rsid w:val="0089140D"/>
    <w:rsid w:val="00891767"/>
    <w:rsid w:val="008921C6"/>
    <w:rsid w:val="008A0B2E"/>
    <w:rsid w:val="008A0CF9"/>
    <w:rsid w:val="008A3019"/>
    <w:rsid w:val="008A30C3"/>
    <w:rsid w:val="008A32EC"/>
    <w:rsid w:val="008B2F20"/>
    <w:rsid w:val="008B3782"/>
    <w:rsid w:val="008B5D7F"/>
    <w:rsid w:val="008C1BE2"/>
    <w:rsid w:val="008C519E"/>
    <w:rsid w:val="008D0B63"/>
    <w:rsid w:val="008D792D"/>
    <w:rsid w:val="008E3D44"/>
    <w:rsid w:val="008E4DA6"/>
    <w:rsid w:val="008F2E94"/>
    <w:rsid w:val="008F7151"/>
    <w:rsid w:val="00903BDD"/>
    <w:rsid w:val="00903F77"/>
    <w:rsid w:val="00905DD1"/>
    <w:rsid w:val="009136EE"/>
    <w:rsid w:val="009138F6"/>
    <w:rsid w:val="0091488C"/>
    <w:rsid w:val="00914D1C"/>
    <w:rsid w:val="00915A0A"/>
    <w:rsid w:val="00915E7E"/>
    <w:rsid w:val="00920B58"/>
    <w:rsid w:val="00921787"/>
    <w:rsid w:val="009255D3"/>
    <w:rsid w:val="00927002"/>
    <w:rsid w:val="009271BD"/>
    <w:rsid w:val="009275E3"/>
    <w:rsid w:val="009278F1"/>
    <w:rsid w:val="009310BA"/>
    <w:rsid w:val="0093212E"/>
    <w:rsid w:val="00935CE4"/>
    <w:rsid w:val="009370EA"/>
    <w:rsid w:val="009403E3"/>
    <w:rsid w:val="0094047B"/>
    <w:rsid w:val="00943448"/>
    <w:rsid w:val="00943A87"/>
    <w:rsid w:val="00947B73"/>
    <w:rsid w:val="00952DA1"/>
    <w:rsid w:val="0095413F"/>
    <w:rsid w:val="00954480"/>
    <w:rsid w:val="00956D42"/>
    <w:rsid w:val="009709CC"/>
    <w:rsid w:val="00970FA9"/>
    <w:rsid w:val="00972E0B"/>
    <w:rsid w:val="00976994"/>
    <w:rsid w:val="00983FBE"/>
    <w:rsid w:val="009857BA"/>
    <w:rsid w:val="009867D0"/>
    <w:rsid w:val="00987E26"/>
    <w:rsid w:val="009917ED"/>
    <w:rsid w:val="00992F3A"/>
    <w:rsid w:val="009936D8"/>
    <w:rsid w:val="009A4592"/>
    <w:rsid w:val="009A6F9E"/>
    <w:rsid w:val="009B209B"/>
    <w:rsid w:val="009B351E"/>
    <w:rsid w:val="009B43E2"/>
    <w:rsid w:val="009B4C09"/>
    <w:rsid w:val="009B760E"/>
    <w:rsid w:val="009C0028"/>
    <w:rsid w:val="009C1C20"/>
    <w:rsid w:val="009C3A83"/>
    <w:rsid w:val="009C4239"/>
    <w:rsid w:val="009C5CA9"/>
    <w:rsid w:val="009D4EFC"/>
    <w:rsid w:val="009D5181"/>
    <w:rsid w:val="009D6892"/>
    <w:rsid w:val="009E455D"/>
    <w:rsid w:val="009F05ED"/>
    <w:rsid w:val="009F155E"/>
    <w:rsid w:val="009F3199"/>
    <w:rsid w:val="009F5302"/>
    <w:rsid w:val="009F53A9"/>
    <w:rsid w:val="009F6736"/>
    <w:rsid w:val="009F7999"/>
    <w:rsid w:val="00A07AEC"/>
    <w:rsid w:val="00A13A8E"/>
    <w:rsid w:val="00A15E16"/>
    <w:rsid w:val="00A171DA"/>
    <w:rsid w:val="00A208FA"/>
    <w:rsid w:val="00A2271E"/>
    <w:rsid w:val="00A244E9"/>
    <w:rsid w:val="00A252B2"/>
    <w:rsid w:val="00A27A61"/>
    <w:rsid w:val="00A33666"/>
    <w:rsid w:val="00A421A3"/>
    <w:rsid w:val="00A43E2F"/>
    <w:rsid w:val="00A51122"/>
    <w:rsid w:val="00A523D7"/>
    <w:rsid w:val="00A527E1"/>
    <w:rsid w:val="00A54AC8"/>
    <w:rsid w:val="00A60808"/>
    <w:rsid w:val="00A6358A"/>
    <w:rsid w:val="00A654F5"/>
    <w:rsid w:val="00A704E0"/>
    <w:rsid w:val="00A71C8D"/>
    <w:rsid w:val="00A75DC5"/>
    <w:rsid w:val="00A774CA"/>
    <w:rsid w:val="00A80FB5"/>
    <w:rsid w:val="00A82F66"/>
    <w:rsid w:val="00A8340E"/>
    <w:rsid w:val="00A84322"/>
    <w:rsid w:val="00A85B28"/>
    <w:rsid w:val="00A90197"/>
    <w:rsid w:val="00A936AD"/>
    <w:rsid w:val="00A93FEB"/>
    <w:rsid w:val="00A96975"/>
    <w:rsid w:val="00AA2DE2"/>
    <w:rsid w:val="00AA46A1"/>
    <w:rsid w:val="00AA75A0"/>
    <w:rsid w:val="00AA76FB"/>
    <w:rsid w:val="00AB6CC3"/>
    <w:rsid w:val="00AB7A27"/>
    <w:rsid w:val="00AB7E79"/>
    <w:rsid w:val="00AC3DBC"/>
    <w:rsid w:val="00AC5248"/>
    <w:rsid w:val="00AC5F5A"/>
    <w:rsid w:val="00AC6958"/>
    <w:rsid w:val="00AD156E"/>
    <w:rsid w:val="00AD18D2"/>
    <w:rsid w:val="00AD4B76"/>
    <w:rsid w:val="00AD4B80"/>
    <w:rsid w:val="00AD787E"/>
    <w:rsid w:val="00AE1D7E"/>
    <w:rsid w:val="00AF2B1F"/>
    <w:rsid w:val="00AF30BC"/>
    <w:rsid w:val="00AF5BDF"/>
    <w:rsid w:val="00AF5D4B"/>
    <w:rsid w:val="00AF7442"/>
    <w:rsid w:val="00B00E2D"/>
    <w:rsid w:val="00B02F73"/>
    <w:rsid w:val="00B038A2"/>
    <w:rsid w:val="00B0457F"/>
    <w:rsid w:val="00B076DE"/>
    <w:rsid w:val="00B11010"/>
    <w:rsid w:val="00B152F5"/>
    <w:rsid w:val="00B1539B"/>
    <w:rsid w:val="00B1692E"/>
    <w:rsid w:val="00B1716D"/>
    <w:rsid w:val="00B230F7"/>
    <w:rsid w:val="00B24F2D"/>
    <w:rsid w:val="00B2678C"/>
    <w:rsid w:val="00B30936"/>
    <w:rsid w:val="00B33019"/>
    <w:rsid w:val="00B33CB1"/>
    <w:rsid w:val="00B34202"/>
    <w:rsid w:val="00B350C0"/>
    <w:rsid w:val="00B40E24"/>
    <w:rsid w:val="00B43C3A"/>
    <w:rsid w:val="00B443AA"/>
    <w:rsid w:val="00B47301"/>
    <w:rsid w:val="00B47663"/>
    <w:rsid w:val="00B5184D"/>
    <w:rsid w:val="00B5238B"/>
    <w:rsid w:val="00B524BE"/>
    <w:rsid w:val="00B52C94"/>
    <w:rsid w:val="00B54D85"/>
    <w:rsid w:val="00B56BE5"/>
    <w:rsid w:val="00B64CB3"/>
    <w:rsid w:val="00B64F00"/>
    <w:rsid w:val="00B679ED"/>
    <w:rsid w:val="00B72BCE"/>
    <w:rsid w:val="00B72BEA"/>
    <w:rsid w:val="00B73BC3"/>
    <w:rsid w:val="00B74E7F"/>
    <w:rsid w:val="00B75725"/>
    <w:rsid w:val="00B82BA0"/>
    <w:rsid w:val="00B82FC6"/>
    <w:rsid w:val="00B85AF1"/>
    <w:rsid w:val="00B94146"/>
    <w:rsid w:val="00B95011"/>
    <w:rsid w:val="00B96B11"/>
    <w:rsid w:val="00BA098A"/>
    <w:rsid w:val="00BA0E9C"/>
    <w:rsid w:val="00BA1833"/>
    <w:rsid w:val="00BA6A5A"/>
    <w:rsid w:val="00BB393A"/>
    <w:rsid w:val="00BB40AF"/>
    <w:rsid w:val="00BB586C"/>
    <w:rsid w:val="00BC13F9"/>
    <w:rsid w:val="00BC7943"/>
    <w:rsid w:val="00BD13C0"/>
    <w:rsid w:val="00BD1BA0"/>
    <w:rsid w:val="00BD1ED9"/>
    <w:rsid w:val="00BD27B9"/>
    <w:rsid w:val="00BD47B1"/>
    <w:rsid w:val="00BD75E1"/>
    <w:rsid w:val="00BE64CF"/>
    <w:rsid w:val="00BE7458"/>
    <w:rsid w:val="00BF33B4"/>
    <w:rsid w:val="00BF57D1"/>
    <w:rsid w:val="00C00EC5"/>
    <w:rsid w:val="00C0124C"/>
    <w:rsid w:val="00C03E10"/>
    <w:rsid w:val="00C043AE"/>
    <w:rsid w:val="00C04E3E"/>
    <w:rsid w:val="00C05979"/>
    <w:rsid w:val="00C07397"/>
    <w:rsid w:val="00C13AE4"/>
    <w:rsid w:val="00C1479C"/>
    <w:rsid w:val="00C14B90"/>
    <w:rsid w:val="00C17902"/>
    <w:rsid w:val="00C17C1D"/>
    <w:rsid w:val="00C21677"/>
    <w:rsid w:val="00C21A34"/>
    <w:rsid w:val="00C22F72"/>
    <w:rsid w:val="00C235EB"/>
    <w:rsid w:val="00C30D77"/>
    <w:rsid w:val="00C3205F"/>
    <w:rsid w:val="00C32CE0"/>
    <w:rsid w:val="00C35E2B"/>
    <w:rsid w:val="00C40A1C"/>
    <w:rsid w:val="00C40B64"/>
    <w:rsid w:val="00C41402"/>
    <w:rsid w:val="00C42DC4"/>
    <w:rsid w:val="00C42F43"/>
    <w:rsid w:val="00C5087C"/>
    <w:rsid w:val="00C5502D"/>
    <w:rsid w:val="00C5761A"/>
    <w:rsid w:val="00C61297"/>
    <w:rsid w:val="00C62DB1"/>
    <w:rsid w:val="00C64452"/>
    <w:rsid w:val="00C6538D"/>
    <w:rsid w:val="00C67B65"/>
    <w:rsid w:val="00C7028B"/>
    <w:rsid w:val="00C70502"/>
    <w:rsid w:val="00C70696"/>
    <w:rsid w:val="00C71AD9"/>
    <w:rsid w:val="00C74ACD"/>
    <w:rsid w:val="00C80910"/>
    <w:rsid w:val="00C80ACD"/>
    <w:rsid w:val="00C8116A"/>
    <w:rsid w:val="00C81207"/>
    <w:rsid w:val="00C8121E"/>
    <w:rsid w:val="00C81746"/>
    <w:rsid w:val="00C81C03"/>
    <w:rsid w:val="00C917E8"/>
    <w:rsid w:val="00C938FF"/>
    <w:rsid w:val="00C9457B"/>
    <w:rsid w:val="00C9638A"/>
    <w:rsid w:val="00CA231F"/>
    <w:rsid w:val="00CA3357"/>
    <w:rsid w:val="00CA4798"/>
    <w:rsid w:val="00CA749A"/>
    <w:rsid w:val="00CA7A5A"/>
    <w:rsid w:val="00CB0F3E"/>
    <w:rsid w:val="00CB33F1"/>
    <w:rsid w:val="00CB4874"/>
    <w:rsid w:val="00CB4CFF"/>
    <w:rsid w:val="00CB566C"/>
    <w:rsid w:val="00CC0362"/>
    <w:rsid w:val="00CC2466"/>
    <w:rsid w:val="00CC43F7"/>
    <w:rsid w:val="00CC789C"/>
    <w:rsid w:val="00CD424B"/>
    <w:rsid w:val="00CD4AB0"/>
    <w:rsid w:val="00CD52EC"/>
    <w:rsid w:val="00CD6FCC"/>
    <w:rsid w:val="00CD7F22"/>
    <w:rsid w:val="00CE1F27"/>
    <w:rsid w:val="00CE2FDC"/>
    <w:rsid w:val="00CE39FB"/>
    <w:rsid w:val="00CE3A9D"/>
    <w:rsid w:val="00CE4123"/>
    <w:rsid w:val="00CF07DF"/>
    <w:rsid w:val="00CF45F3"/>
    <w:rsid w:val="00CF6D4C"/>
    <w:rsid w:val="00CF6FFB"/>
    <w:rsid w:val="00D0149E"/>
    <w:rsid w:val="00D023B0"/>
    <w:rsid w:val="00D0314C"/>
    <w:rsid w:val="00D04C42"/>
    <w:rsid w:val="00D06C2F"/>
    <w:rsid w:val="00D07E3A"/>
    <w:rsid w:val="00D10CFB"/>
    <w:rsid w:val="00D1477E"/>
    <w:rsid w:val="00D14F2D"/>
    <w:rsid w:val="00D15F56"/>
    <w:rsid w:val="00D16186"/>
    <w:rsid w:val="00D21D70"/>
    <w:rsid w:val="00D22566"/>
    <w:rsid w:val="00D26E96"/>
    <w:rsid w:val="00D317C4"/>
    <w:rsid w:val="00D3306D"/>
    <w:rsid w:val="00D34D66"/>
    <w:rsid w:val="00D368F2"/>
    <w:rsid w:val="00D407F8"/>
    <w:rsid w:val="00D4231C"/>
    <w:rsid w:val="00D42AAC"/>
    <w:rsid w:val="00D468A8"/>
    <w:rsid w:val="00D525F6"/>
    <w:rsid w:val="00D52B0C"/>
    <w:rsid w:val="00D609E6"/>
    <w:rsid w:val="00D61FA8"/>
    <w:rsid w:val="00D640DC"/>
    <w:rsid w:val="00D6452B"/>
    <w:rsid w:val="00D65380"/>
    <w:rsid w:val="00D721B3"/>
    <w:rsid w:val="00D739EF"/>
    <w:rsid w:val="00D7516F"/>
    <w:rsid w:val="00D76E0A"/>
    <w:rsid w:val="00D770D7"/>
    <w:rsid w:val="00D806BC"/>
    <w:rsid w:val="00D81EB9"/>
    <w:rsid w:val="00D82798"/>
    <w:rsid w:val="00D87045"/>
    <w:rsid w:val="00D92E26"/>
    <w:rsid w:val="00D94AF5"/>
    <w:rsid w:val="00DA13CE"/>
    <w:rsid w:val="00DA5EB3"/>
    <w:rsid w:val="00DA6CE5"/>
    <w:rsid w:val="00DA6DC3"/>
    <w:rsid w:val="00DB2592"/>
    <w:rsid w:val="00DB47BF"/>
    <w:rsid w:val="00DC004D"/>
    <w:rsid w:val="00DC012F"/>
    <w:rsid w:val="00DC30BB"/>
    <w:rsid w:val="00DD0320"/>
    <w:rsid w:val="00DD03DD"/>
    <w:rsid w:val="00DD21EA"/>
    <w:rsid w:val="00DD61E0"/>
    <w:rsid w:val="00DE008E"/>
    <w:rsid w:val="00DE1B1E"/>
    <w:rsid w:val="00DE350B"/>
    <w:rsid w:val="00DE4303"/>
    <w:rsid w:val="00DF099F"/>
    <w:rsid w:val="00DF28B6"/>
    <w:rsid w:val="00DF2A7D"/>
    <w:rsid w:val="00DF2EC5"/>
    <w:rsid w:val="00DF334D"/>
    <w:rsid w:val="00DF3676"/>
    <w:rsid w:val="00DF5F7E"/>
    <w:rsid w:val="00DF6245"/>
    <w:rsid w:val="00DF7E93"/>
    <w:rsid w:val="00E00232"/>
    <w:rsid w:val="00E04ECE"/>
    <w:rsid w:val="00E070E0"/>
    <w:rsid w:val="00E07DB8"/>
    <w:rsid w:val="00E10374"/>
    <w:rsid w:val="00E104D0"/>
    <w:rsid w:val="00E121BD"/>
    <w:rsid w:val="00E13F0B"/>
    <w:rsid w:val="00E16464"/>
    <w:rsid w:val="00E16E01"/>
    <w:rsid w:val="00E21C0D"/>
    <w:rsid w:val="00E3092B"/>
    <w:rsid w:val="00E32954"/>
    <w:rsid w:val="00E335B1"/>
    <w:rsid w:val="00E35A37"/>
    <w:rsid w:val="00E36C54"/>
    <w:rsid w:val="00E3746A"/>
    <w:rsid w:val="00E37AF3"/>
    <w:rsid w:val="00E41D8D"/>
    <w:rsid w:val="00E45A4C"/>
    <w:rsid w:val="00E547B7"/>
    <w:rsid w:val="00E54DA1"/>
    <w:rsid w:val="00E57039"/>
    <w:rsid w:val="00E6380C"/>
    <w:rsid w:val="00E65FDD"/>
    <w:rsid w:val="00E7485B"/>
    <w:rsid w:val="00E800BF"/>
    <w:rsid w:val="00E80C3E"/>
    <w:rsid w:val="00E84EF6"/>
    <w:rsid w:val="00E85124"/>
    <w:rsid w:val="00E93A5B"/>
    <w:rsid w:val="00E95008"/>
    <w:rsid w:val="00E95750"/>
    <w:rsid w:val="00EA0AB1"/>
    <w:rsid w:val="00EA23FD"/>
    <w:rsid w:val="00EA45F9"/>
    <w:rsid w:val="00EB0524"/>
    <w:rsid w:val="00EB081D"/>
    <w:rsid w:val="00EB08AA"/>
    <w:rsid w:val="00EB5209"/>
    <w:rsid w:val="00EB56BD"/>
    <w:rsid w:val="00EB7CE0"/>
    <w:rsid w:val="00EC01AD"/>
    <w:rsid w:val="00EC2C65"/>
    <w:rsid w:val="00ED0955"/>
    <w:rsid w:val="00ED408F"/>
    <w:rsid w:val="00ED60A7"/>
    <w:rsid w:val="00EE0A1E"/>
    <w:rsid w:val="00EE0ECC"/>
    <w:rsid w:val="00EE4015"/>
    <w:rsid w:val="00EE621F"/>
    <w:rsid w:val="00EE682F"/>
    <w:rsid w:val="00EE7062"/>
    <w:rsid w:val="00EE75B3"/>
    <w:rsid w:val="00EE7EAC"/>
    <w:rsid w:val="00EF3743"/>
    <w:rsid w:val="00EF56C6"/>
    <w:rsid w:val="00EF7AAD"/>
    <w:rsid w:val="00EF7E1D"/>
    <w:rsid w:val="00F01319"/>
    <w:rsid w:val="00F01774"/>
    <w:rsid w:val="00F04602"/>
    <w:rsid w:val="00F076E7"/>
    <w:rsid w:val="00F14159"/>
    <w:rsid w:val="00F162F4"/>
    <w:rsid w:val="00F17261"/>
    <w:rsid w:val="00F2242D"/>
    <w:rsid w:val="00F22BCC"/>
    <w:rsid w:val="00F25176"/>
    <w:rsid w:val="00F26D52"/>
    <w:rsid w:val="00F27CAB"/>
    <w:rsid w:val="00F30014"/>
    <w:rsid w:val="00F30112"/>
    <w:rsid w:val="00F3398C"/>
    <w:rsid w:val="00F33AF3"/>
    <w:rsid w:val="00F3466F"/>
    <w:rsid w:val="00F3547D"/>
    <w:rsid w:val="00F35A70"/>
    <w:rsid w:val="00F36725"/>
    <w:rsid w:val="00F413C5"/>
    <w:rsid w:val="00F46C4D"/>
    <w:rsid w:val="00F47403"/>
    <w:rsid w:val="00F51B03"/>
    <w:rsid w:val="00F51E4C"/>
    <w:rsid w:val="00F6228C"/>
    <w:rsid w:val="00F631EC"/>
    <w:rsid w:val="00F6673E"/>
    <w:rsid w:val="00F67CAB"/>
    <w:rsid w:val="00F708D8"/>
    <w:rsid w:val="00F7124A"/>
    <w:rsid w:val="00F74866"/>
    <w:rsid w:val="00F74F90"/>
    <w:rsid w:val="00F76B9A"/>
    <w:rsid w:val="00F77050"/>
    <w:rsid w:val="00F77AFD"/>
    <w:rsid w:val="00F80AE8"/>
    <w:rsid w:val="00F81C7D"/>
    <w:rsid w:val="00F829DE"/>
    <w:rsid w:val="00F8628D"/>
    <w:rsid w:val="00F90347"/>
    <w:rsid w:val="00F94A63"/>
    <w:rsid w:val="00F96742"/>
    <w:rsid w:val="00FA48BF"/>
    <w:rsid w:val="00FA494F"/>
    <w:rsid w:val="00FB0970"/>
    <w:rsid w:val="00FB0E5A"/>
    <w:rsid w:val="00FB1825"/>
    <w:rsid w:val="00FC3E09"/>
    <w:rsid w:val="00FC3F25"/>
    <w:rsid w:val="00FC5378"/>
    <w:rsid w:val="00FC67ED"/>
    <w:rsid w:val="00FD0589"/>
    <w:rsid w:val="00FD10E5"/>
    <w:rsid w:val="00FD1D83"/>
    <w:rsid w:val="00FD6504"/>
    <w:rsid w:val="00FD72C2"/>
    <w:rsid w:val="00FD776F"/>
    <w:rsid w:val="00FE0D6E"/>
    <w:rsid w:val="00FE1E6F"/>
    <w:rsid w:val="00FE2505"/>
    <w:rsid w:val="00FE5325"/>
    <w:rsid w:val="00FF0051"/>
    <w:rsid w:val="00FF0CE1"/>
    <w:rsid w:val="00FF2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45F31"/>
  <w15:docId w15:val="{3C316481-4219-4D16-B534-CBB3DEEE1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9CC"/>
    <w:pPr>
      <w:spacing w:line="360" w:lineRule="auto"/>
      <w:ind w:firstLine="709"/>
      <w:jc w:val="both"/>
    </w:pPr>
  </w:style>
  <w:style w:type="paragraph" w:styleId="Ttulo1">
    <w:name w:val="heading 1"/>
    <w:basedOn w:val="Normal"/>
    <w:next w:val="Normal"/>
    <w:link w:val="Ttulo1Car"/>
    <w:uiPriority w:val="9"/>
    <w:qFormat/>
    <w:rsid w:val="00A774CA"/>
    <w:pPr>
      <w:keepNext/>
      <w:keepLines/>
      <w:spacing w:before="400" w:after="40" w:line="240" w:lineRule="auto"/>
      <w:jc w:val="center"/>
      <w:outlineLvl w:val="0"/>
    </w:pPr>
    <w:rPr>
      <w:rFonts w:eastAsiaTheme="majorEastAsia" w:cstheme="majorBidi"/>
      <w:b/>
      <w:sz w:val="28"/>
      <w:szCs w:val="36"/>
    </w:rPr>
  </w:style>
  <w:style w:type="paragraph" w:styleId="Ttulo2">
    <w:name w:val="heading 2"/>
    <w:basedOn w:val="Normal"/>
    <w:next w:val="Normal"/>
    <w:link w:val="Ttulo2Car"/>
    <w:uiPriority w:val="9"/>
    <w:unhideWhenUsed/>
    <w:qFormat/>
    <w:rsid w:val="00D721B3"/>
    <w:pPr>
      <w:keepNext/>
      <w:keepLines/>
      <w:spacing w:before="40" w:after="0" w:line="240" w:lineRule="auto"/>
      <w:jc w:val="left"/>
      <w:outlineLvl w:val="1"/>
    </w:pPr>
    <w:rPr>
      <w:rFonts w:eastAsiaTheme="majorEastAsia" w:cstheme="majorBidi"/>
      <w:b/>
      <w:sz w:val="24"/>
      <w:szCs w:val="32"/>
    </w:rPr>
  </w:style>
  <w:style w:type="paragraph" w:styleId="Ttulo3">
    <w:name w:val="heading 3"/>
    <w:basedOn w:val="Normal"/>
    <w:next w:val="Normal"/>
    <w:link w:val="Ttulo3Car"/>
    <w:uiPriority w:val="9"/>
    <w:unhideWhenUsed/>
    <w:qFormat/>
    <w:rsid w:val="00D721B3"/>
    <w:pPr>
      <w:keepNext/>
      <w:keepLines/>
      <w:spacing w:before="40" w:after="0" w:line="240" w:lineRule="auto"/>
      <w:ind w:firstLine="0"/>
      <w:jc w:val="left"/>
      <w:outlineLvl w:val="2"/>
    </w:pPr>
    <w:rPr>
      <w:rFonts w:eastAsiaTheme="majorEastAsia" w:cstheme="majorBidi"/>
      <w:sz w:val="24"/>
      <w:szCs w:val="28"/>
    </w:rPr>
  </w:style>
  <w:style w:type="paragraph" w:styleId="Ttulo4">
    <w:name w:val="heading 4"/>
    <w:basedOn w:val="Normal"/>
    <w:next w:val="Normal"/>
    <w:link w:val="Ttulo4Car"/>
    <w:uiPriority w:val="9"/>
    <w:semiHidden/>
    <w:unhideWhenUsed/>
    <w:qFormat/>
    <w:rsid w:val="00ED0955"/>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Ttulo5">
    <w:name w:val="heading 5"/>
    <w:basedOn w:val="Normal"/>
    <w:next w:val="Normal"/>
    <w:link w:val="Ttulo5Car"/>
    <w:uiPriority w:val="9"/>
    <w:semiHidden/>
    <w:unhideWhenUsed/>
    <w:qFormat/>
    <w:rsid w:val="00ED0955"/>
    <w:pPr>
      <w:keepNext/>
      <w:keepLines/>
      <w:spacing w:before="40" w:after="0"/>
      <w:outlineLvl w:val="4"/>
    </w:pPr>
    <w:rPr>
      <w:rFonts w:asciiTheme="majorHAnsi" w:eastAsiaTheme="majorEastAsia" w:hAnsiTheme="majorHAnsi" w:cstheme="majorBidi"/>
      <w:caps/>
      <w:color w:val="2E74B5" w:themeColor="accent1" w:themeShade="BF"/>
    </w:rPr>
  </w:style>
  <w:style w:type="paragraph" w:styleId="Ttulo6">
    <w:name w:val="heading 6"/>
    <w:basedOn w:val="Normal"/>
    <w:next w:val="Normal"/>
    <w:link w:val="Ttulo6Car"/>
    <w:uiPriority w:val="9"/>
    <w:semiHidden/>
    <w:unhideWhenUsed/>
    <w:qFormat/>
    <w:rsid w:val="00ED0955"/>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Ttulo7">
    <w:name w:val="heading 7"/>
    <w:basedOn w:val="Normal"/>
    <w:next w:val="Normal"/>
    <w:link w:val="Ttulo7Car"/>
    <w:uiPriority w:val="9"/>
    <w:semiHidden/>
    <w:unhideWhenUsed/>
    <w:qFormat/>
    <w:rsid w:val="00ED0955"/>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Ttulo8">
    <w:name w:val="heading 8"/>
    <w:basedOn w:val="Normal"/>
    <w:next w:val="Normal"/>
    <w:link w:val="Ttulo8Car"/>
    <w:uiPriority w:val="9"/>
    <w:semiHidden/>
    <w:unhideWhenUsed/>
    <w:qFormat/>
    <w:rsid w:val="00ED0955"/>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Ttulo9">
    <w:name w:val="heading 9"/>
    <w:basedOn w:val="Normal"/>
    <w:next w:val="Normal"/>
    <w:link w:val="Ttulo9Car"/>
    <w:uiPriority w:val="9"/>
    <w:semiHidden/>
    <w:unhideWhenUsed/>
    <w:qFormat/>
    <w:rsid w:val="00ED0955"/>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A6C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A6CE5"/>
  </w:style>
  <w:style w:type="paragraph" w:styleId="Piedepgina">
    <w:name w:val="footer"/>
    <w:basedOn w:val="Normal"/>
    <w:link w:val="PiedepginaCar"/>
    <w:uiPriority w:val="99"/>
    <w:unhideWhenUsed/>
    <w:rsid w:val="00DA6C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A6CE5"/>
  </w:style>
  <w:style w:type="character" w:styleId="Textodelmarcadordeposicin">
    <w:name w:val="Placeholder Text"/>
    <w:basedOn w:val="Fuentedeprrafopredeter"/>
    <w:uiPriority w:val="99"/>
    <w:semiHidden/>
    <w:rsid w:val="00DA6CE5"/>
    <w:rPr>
      <w:color w:val="808080"/>
    </w:rPr>
  </w:style>
  <w:style w:type="character" w:customStyle="1" w:styleId="Ttulo1Car">
    <w:name w:val="Título 1 Car"/>
    <w:basedOn w:val="Fuentedeprrafopredeter"/>
    <w:link w:val="Ttulo1"/>
    <w:uiPriority w:val="9"/>
    <w:rsid w:val="00A774CA"/>
    <w:rPr>
      <w:rFonts w:eastAsiaTheme="majorEastAsia" w:cstheme="majorBidi"/>
      <w:b/>
      <w:sz w:val="28"/>
      <w:szCs w:val="36"/>
    </w:rPr>
  </w:style>
  <w:style w:type="paragraph" w:styleId="Textonotapie">
    <w:name w:val="footnote text"/>
    <w:basedOn w:val="Normal"/>
    <w:link w:val="TextonotapieCar"/>
    <w:uiPriority w:val="99"/>
    <w:semiHidden/>
    <w:unhideWhenUsed/>
    <w:rsid w:val="002B075A"/>
    <w:pPr>
      <w:spacing w:after="0" w:line="240" w:lineRule="auto"/>
    </w:pPr>
    <w:rPr>
      <w:sz w:val="20"/>
      <w:szCs w:val="20"/>
      <w:lang w:val="es-MX"/>
    </w:rPr>
  </w:style>
  <w:style w:type="character" w:customStyle="1" w:styleId="TextonotapieCar">
    <w:name w:val="Texto nota pie Car"/>
    <w:basedOn w:val="Fuentedeprrafopredeter"/>
    <w:link w:val="Textonotapie"/>
    <w:uiPriority w:val="99"/>
    <w:semiHidden/>
    <w:rsid w:val="002B075A"/>
    <w:rPr>
      <w:sz w:val="20"/>
      <w:szCs w:val="20"/>
      <w:lang w:val="es-MX"/>
    </w:rPr>
  </w:style>
  <w:style w:type="character" w:styleId="Refdenotaalpie">
    <w:name w:val="footnote reference"/>
    <w:basedOn w:val="Fuentedeprrafopredeter"/>
    <w:uiPriority w:val="99"/>
    <w:semiHidden/>
    <w:unhideWhenUsed/>
    <w:rsid w:val="002B075A"/>
    <w:rPr>
      <w:vertAlign w:val="superscript"/>
    </w:rPr>
  </w:style>
  <w:style w:type="paragraph" w:styleId="Prrafodelista">
    <w:name w:val="List Paragraph"/>
    <w:basedOn w:val="Normal"/>
    <w:uiPriority w:val="34"/>
    <w:qFormat/>
    <w:rsid w:val="00C917E8"/>
    <w:pPr>
      <w:ind w:left="720"/>
      <w:contextualSpacing/>
    </w:pPr>
  </w:style>
  <w:style w:type="character" w:styleId="Refdecomentario">
    <w:name w:val="annotation reference"/>
    <w:basedOn w:val="Fuentedeprrafopredeter"/>
    <w:uiPriority w:val="99"/>
    <w:semiHidden/>
    <w:unhideWhenUsed/>
    <w:rsid w:val="000318FB"/>
    <w:rPr>
      <w:sz w:val="16"/>
      <w:szCs w:val="16"/>
    </w:rPr>
  </w:style>
  <w:style w:type="paragraph" w:styleId="Textocomentario">
    <w:name w:val="annotation text"/>
    <w:basedOn w:val="Normal"/>
    <w:link w:val="TextocomentarioCar"/>
    <w:uiPriority w:val="99"/>
    <w:semiHidden/>
    <w:unhideWhenUsed/>
    <w:rsid w:val="000318F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318FB"/>
    <w:rPr>
      <w:sz w:val="20"/>
      <w:szCs w:val="20"/>
    </w:rPr>
  </w:style>
  <w:style w:type="paragraph" w:styleId="Asuntodelcomentario">
    <w:name w:val="annotation subject"/>
    <w:basedOn w:val="Textocomentario"/>
    <w:next w:val="Textocomentario"/>
    <w:link w:val="AsuntodelcomentarioCar"/>
    <w:uiPriority w:val="99"/>
    <w:semiHidden/>
    <w:unhideWhenUsed/>
    <w:rsid w:val="000318FB"/>
    <w:rPr>
      <w:b/>
      <w:bCs/>
    </w:rPr>
  </w:style>
  <w:style w:type="character" w:customStyle="1" w:styleId="AsuntodelcomentarioCar">
    <w:name w:val="Asunto del comentario Car"/>
    <w:basedOn w:val="TextocomentarioCar"/>
    <w:link w:val="Asuntodelcomentario"/>
    <w:uiPriority w:val="99"/>
    <w:semiHidden/>
    <w:rsid w:val="000318FB"/>
    <w:rPr>
      <w:b/>
      <w:bCs/>
      <w:sz w:val="20"/>
      <w:szCs w:val="20"/>
    </w:rPr>
  </w:style>
  <w:style w:type="paragraph" w:styleId="Textodeglobo">
    <w:name w:val="Balloon Text"/>
    <w:basedOn w:val="Normal"/>
    <w:link w:val="TextodegloboCar"/>
    <w:uiPriority w:val="99"/>
    <w:semiHidden/>
    <w:unhideWhenUsed/>
    <w:rsid w:val="000318F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318FB"/>
    <w:rPr>
      <w:rFonts w:ascii="Segoe UI" w:hAnsi="Segoe UI" w:cs="Segoe UI"/>
      <w:sz w:val="18"/>
      <w:szCs w:val="18"/>
    </w:rPr>
  </w:style>
  <w:style w:type="character" w:customStyle="1" w:styleId="Ttulo3Car">
    <w:name w:val="Título 3 Car"/>
    <w:basedOn w:val="Fuentedeprrafopredeter"/>
    <w:link w:val="Ttulo3"/>
    <w:uiPriority w:val="9"/>
    <w:rsid w:val="00D721B3"/>
    <w:rPr>
      <w:rFonts w:eastAsiaTheme="majorEastAsia" w:cstheme="majorBidi"/>
      <w:sz w:val="24"/>
      <w:szCs w:val="28"/>
    </w:rPr>
  </w:style>
  <w:style w:type="character" w:styleId="Hipervnculo">
    <w:name w:val="Hyperlink"/>
    <w:basedOn w:val="Fuentedeprrafopredeter"/>
    <w:uiPriority w:val="99"/>
    <w:unhideWhenUsed/>
    <w:rsid w:val="00DC30BB"/>
    <w:rPr>
      <w:color w:val="0563C1" w:themeColor="hyperlink"/>
      <w:u w:val="single"/>
    </w:rPr>
  </w:style>
  <w:style w:type="paragraph" w:styleId="TtulodeTDC">
    <w:name w:val="TOC Heading"/>
    <w:basedOn w:val="Ttulo1"/>
    <w:next w:val="Normal"/>
    <w:uiPriority w:val="39"/>
    <w:unhideWhenUsed/>
    <w:qFormat/>
    <w:rsid w:val="00ED0955"/>
    <w:pPr>
      <w:outlineLvl w:val="9"/>
    </w:pPr>
  </w:style>
  <w:style w:type="paragraph" w:styleId="TDC1">
    <w:name w:val="toc 1"/>
    <w:basedOn w:val="Normal"/>
    <w:next w:val="Normal"/>
    <w:autoRedefine/>
    <w:uiPriority w:val="39"/>
    <w:unhideWhenUsed/>
    <w:rsid w:val="009B43E2"/>
    <w:pPr>
      <w:spacing w:after="100"/>
    </w:pPr>
  </w:style>
  <w:style w:type="character" w:customStyle="1" w:styleId="Ttulo2Car">
    <w:name w:val="Título 2 Car"/>
    <w:basedOn w:val="Fuentedeprrafopredeter"/>
    <w:link w:val="Ttulo2"/>
    <w:uiPriority w:val="9"/>
    <w:rsid w:val="00D721B3"/>
    <w:rPr>
      <w:rFonts w:eastAsiaTheme="majorEastAsia" w:cstheme="majorBidi"/>
      <w:b/>
      <w:sz w:val="24"/>
      <w:szCs w:val="32"/>
    </w:rPr>
  </w:style>
  <w:style w:type="character" w:customStyle="1" w:styleId="Ttulo4Car">
    <w:name w:val="Título 4 Car"/>
    <w:basedOn w:val="Fuentedeprrafopredeter"/>
    <w:link w:val="Ttulo4"/>
    <w:uiPriority w:val="9"/>
    <w:semiHidden/>
    <w:rsid w:val="00ED0955"/>
    <w:rPr>
      <w:rFonts w:asciiTheme="majorHAnsi" w:eastAsiaTheme="majorEastAsia" w:hAnsiTheme="majorHAnsi" w:cstheme="majorBidi"/>
      <w:color w:val="2E74B5" w:themeColor="accent1" w:themeShade="BF"/>
      <w:sz w:val="24"/>
      <w:szCs w:val="24"/>
    </w:rPr>
  </w:style>
  <w:style w:type="character" w:customStyle="1" w:styleId="Ttulo5Car">
    <w:name w:val="Título 5 Car"/>
    <w:basedOn w:val="Fuentedeprrafopredeter"/>
    <w:link w:val="Ttulo5"/>
    <w:uiPriority w:val="9"/>
    <w:semiHidden/>
    <w:rsid w:val="00ED0955"/>
    <w:rPr>
      <w:rFonts w:asciiTheme="majorHAnsi" w:eastAsiaTheme="majorEastAsia" w:hAnsiTheme="majorHAnsi" w:cstheme="majorBidi"/>
      <w:caps/>
      <w:color w:val="2E74B5" w:themeColor="accent1" w:themeShade="BF"/>
    </w:rPr>
  </w:style>
  <w:style w:type="character" w:customStyle="1" w:styleId="Ttulo6Car">
    <w:name w:val="Título 6 Car"/>
    <w:basedOn w:val="Fuentedeprrafopredeter"/>
    <w:link w:val="Ttulo6"/>
    <w:uiPriority w:val="9"/>
    <w:semiHidden/>
    <w:rsid w:val="00ED0955"/>
    <w:rPr>
      <w:rFonts w:asciiTheme="majorHAnsi" w:eastAsiaTheme="majorEastAsia" w:hAnsiTheme="majorHAnsi" w:cstheme="majorBidi"/>
      <w:i/>
      <w:iCs/>
      <w:caps/>
      <w:color w:val="1F4E79" w:themeColor="accent1" w:themeShade="80"/>
    </w:rPr>
  </w:style>
  <w:style w:type="character" w:customStyle="1" w:styleId="Ttulo7Car">
    <w:name w:val="Título 7 Car"/>
    <w:basedOn w:val="Fuentedeprrafopredeter"/>
    <w:link w:val="Ttulo7"/>
    <w:uiPriority w:val="9"/>
    <w:semiHidden/>
    <w:rsid w:val="00ED0955"/>
    <w:rPr>
      <w:rFonts w:asciiTheme="majorHAnsi" w:eastAsiaTheme="majorEastAsia" w:hAnsiTheme="majorHAnsi" w:cstheme="majorBidi"/>
      <w:b/>
      <w:bCs/>
      <w:color w:val="1F4E79" w:themeColor="accent1" w:themeShade="80"/>
    </w:rPr>
  </w:style>
  <w:style w:type="character" w:customStyle="1" w:styleId="Ttulo8Car">
    <w:name w:val="Título 8 Car"/>
    <w:basedOn w:val="Fuentedeprrafopredeter"/>
    <w:link w:val="Ttulo8"/>
    <w:uiPriority w:val="9"/>
    <w:semiHidden/>
    <w:rsid w:val="00ED0955"/>
    <w:rPr>
      <w:rFonts w:asciiTheme="majorHAnsi" w:eastAsiaTheme="majorEastAsia" w:hAnsiTheme="majorHAnsi" w:cstheme="majorBidi"/>
      <w:b/>
      <w:bCs/>
      <w:i/>
      <w:iCs/>
      <w:color w:val="1F4E79" w:themeColor="accent1" w:themeShade="80"/>
    </w:rPr>
  </w:style>
  <w:style w:type="character" w:customStyle="1" w:styleId="Ttulo9Car">
    <w:name w:val="Título 9 Car"/>
    <w:basedOn w:val="Fuentedeprrafopredeter"/>
    <w:link w:val="Ttulo9"/>
    <w:uiPriority w:val="9"/>
    <w:semiHidden/>
    <w:rsid w:val="00ED0955"/>
    <w:rPr>
      <w:rFonts w:asciiTheme="majorHAnsi" w:eastAsiaTheme="majorEastAsia" w:hAnsiTheme="majorHAnsi" w:cstheme="majorBidi"/>
      <w:i/>
      <w:iCs/>
      <w:color w:val="1F4E79" w:themeColor="accent1" w:themeShade="80"/>
    </w:rPr>
  </w:style>
  <w:style w:type="character" w:styleId="Hipervnculovisitado">
    <w:name w:val="FollowedHyperlink"/>
    <w:basedOn w:val="Fuentedeprrafopredeter"/>
    <w:uiPriority w:val="99"/>
    <w:semiHidden/>
    <w:unhideWhenUsed/>
    <w:rsid w:val="00EB08AA"/>
    <w:rPr>
      <w:color w:val="954F72"/>
      <w:u w:val="single"/>
    </w:rPr>
  </w:style>
  <w:style w:type="paragraph" w:customStyle="1" w:styleId="xl66">
    <w:name w:val="xl66"/>
    <w:basedOn w:val="Normal"/>
    <w:rsid w:val="00EB08A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EB0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EB0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Normal"/>
    <w:rsid w:val="00EB0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rsid w:val="00EB0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EB0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styleId="TDC2">
    <w:name w:val="toc 2"/>
    <w:basedOn w:val="Normal"/>
    <w:next w:val="Normal"/>
    <w:autoRedefine/>
    <w:uiPriority w:val="39"/>
    <w:unhideWhenUsed/>
    <w:rsid w:val="002C0E7B"/>
    <w:pPr>
      <w:spacing w:after="100"/>
      <w:ind w:left="220"/>
    </w:pPr>
  </w:style>
  <w:style w:type="paragraph" w:styleId="TDC3">
    <w:name w:val="toc 3"/>
    <w:basedOn w:val="Normal"/>
    <w:next w:val="Normal"/>
    <w:autoRedefine/>
    <w:uiPriority w:val="39"/>
    <w:unhideWhenUsed/>
    <w:rsid w:val="002C0E7B"/>
    <w:pPr>
      <w:spacing w:after="100"/>
      <w:ind w:left="440"/>
    </w:pPr>
  </w:style>
  <w:style w:type="character" w:customStyle="1" w:styleId="apple-converted-space">
    <w:name w:val="apple-converted-space"/>
    <w:basedOn w:val="Fuentedeprrafopredeter"/>
    <w:rsid w:val="008D792D"/>
  </w:style>
  <w:style w:type="paragraph" w:styleId="Descripcin">
    <w:name w:val="caption"/>
    <w:basedOn w:val="Normal"/>
    <w:next w:val="Normal"/>
    <w:uiPriority w:val="35"/>
    <w:semiHidden/>
    <w:unhideWhenUsed/>
    <w:qFormat/>
    <w:rsid w:val="00ED0955"/>
    <w:pPr>
      <w:spacing w:line="240" w:lineRule="auto"/>
    </w:pPr>
    <w:rPr>
      <w:b/>
      <w:bCs/>
      <w:smallCaps/>
      <w:color w:val="44546A" w:themeColor="text2"/>
    </w:rPr>
  </w:style>
  <w:style w:type="paragraph" w:styleId="Puesto">
    <w:name w:val="Title"/>
    <w:basedOn w:val="Normal"/>
    <w:next w:val="Normal"/>
    <w:link w:val="PuestoCar"/>
    <w:uiPriority w:val="10"/>
    <w:qFormat/>
    <w:rsid w:val="00ED0955"/>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PuestoCar">
    <w:name w:val="Puesto Car"/>
    <w:basedOn w:val="Fuentedeprrafopredeter"/>
    <w:link w:val="Puesto"/>
    <w:uiPriority w:val="10"/>
    <w:rsid w:val="00ED0955"/>
    <w:rPr>
      <w:rFonts w:asciiTheme="majorHAnsi" w:eastAsiaTheme="majorEastAsia" w:hAnsiTheme="majorHAnsi" w:cstheme="majorBidi"/>
      <w:caps/>
      <w:color w:val="44546A" w:themeColor="text2"/>
      <w:spacing w:val="-15"/>
      <w:sz w:val="72"/>
      <w:szCs w:val="72"/>
    </w:rPr>
  </w:style>
  <w:style w:type="paragraph" w:styleId="Subttulo">
    <w:name w:val="Subtitle"/>
    <w:basedOn w:val="Normal"/>
    <w:next w:val="Normal"/>
    <w:link w:val="SubttuloCar"/>
    <w:uiPriority w:val="11"/>
    <w:qFormat/>
    <w:rsid w:val="00ED0955"/>
    <w:pPr>
      <w:numPr>
        <w:ilvl w:val="1"/>
      </w:numPr>
      <w:spacing w:after="240" w:line="240" w:lineRule="auto"/>
      <w:ind w:firstLine="709"/>
    </w:pPr>
    <w:rPr>
      <w:rFonts w:asciiTheme="majorHAnsi" w:eastAsiaTheme="majorEastAsia" w:hAnsiTheme="majorHAnsi" w:cstheme="majorBidi"/>
      <w:color w:val="5B9BD5" w:themeColor="accent1"/>
      <w:sz w:val="28"/>
      <w:szCs w:val="28"/>
    </w:rPr>
  </w:style>
  <w:style w:type="character" w:customStyle="1" w:styleId="SubttuloCar">
    <w:name w:val="Subtítulo Car"/>
    <w:basedOn w:val="Fuentedeprrafopredeter"/>
    <w:link w:val="Subttulo"/>
    <w:uiPriority w:val="11"/>
    <w:rsid w:val="00ED0955"/>
    <w:rPr>
      <w:rFonts w:asciiTheme="majorHAnsi" w:eastAsiaTheme="majorEastAsia" w:hAnsiTheme="majorHAnsi" w:cstheme="majorBidi"/>
      <w:color w:val="5B9BD5" w:themeColor="accent1"/>
      <w:sz w:val="28"/>
      <w:szCs w:val="28"/>
    </w:rPr>
  </w:style>
  <w:style w:type="character" w:styleId="Textoennegrita">
    <w:name w:val="Strong"/>
    <w:basedOn w:val="Fuentedeprrafopredeter"/>
    <w:uiPriority w:val="22"/>
    <w:qFormat/>
    <w:rsid w:val="00ED0955"/>
    <w:rPr>
      <w:b/>
      <w:bCs/>
    </w:rPr>
  </w:style>
  <w:style w:type="character" w:styleId="nfasis">
    <w:name w:val="Emphasis"/>
    <w:basedOn w:val="Fuentedeprrafopredeter"/>
    <w:uiPriority w:val="20"/>
    <w:qFormat/>
    <w:rsid w:val="00ED0955"/>
    <w:rPr>
      <w:i/>
      <w:iCs/>
    </w:rPr>
  </w:style>
  <w:style w:type="paragraph" w:styleId="Sinespaciado">
    <w:name w:val="No Spacing"/>
    <w:uiPriority w:val="1"/>
    <w:qFormat/>
    <w:rsid w:val="00ED0955"/>
    <w:pPr>
      <w:spacing w:after="0" w:line="240" w:lineRule="auto"/>
    </w:pPr>
  </w:style>
  <w:style w:type="paragraph" w:styleId="Cita">
    <w:name w:val="Quote"/>
    <w:basedOn w:val="Normal"/>
    <w:next w:val="Normal"/>
    <w:link w:val="CitaCar"/>
    <w:uiPriority w:val="29"/>
    <w:qFormat/>
    <w:rsid w:val="00ED0955"/>
    <w:pPr>
      <w:spacing w:before="120" w:after="120"/>
      <w:ind w:left="720"/>
    </w:pPr>
    <w:rPr>
      <w:color w:val="44546A" w:themeColor="text2"/>
      <w:sz w:val="24"/>
      <w:szCs w:val="24"/>
    </w:rPr>
  </w:style>
  <w:style w:type="character" w:customStyle="1" w:styleId="CitaCar">
    <w:name w:val="Cita Car"/>
    <w:basedOn w:val="Fuentedeprrafopredeter"/>
    <w:link w:val="Cita"/>
    <w:uiPriority w:val="29"/>
    <w:rsid w:val="00ED0955"/>
    <w:rPr>
      <w:color w:val="44546A" w:themeColor="text2"/>
      <w:sz w:val="24"/>
      <w:szCs w:val="24"/>
    </w:rPr>
  </w:style>
  <w:style w:type="paragraph" w:styleId="Citadestacada">
    <w:name w:val="Intense Quote"/>
    <w:basedOn w:val="Normal"/>
    <w:next w:val="Normal"/>
    <w:link w:val="CitadestacadaCar"/>
    <w:uiPriority w:val="30"/>
    <w:qFormat/>
    <w:rsid w:val="00ED0955"/>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ED0955"/>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ED0955"/>
    <w:rPr>
      <w:i/>
      <w:iCs/>
      <w:color w:val="595959" w:themeColor="text1" w:themeTint="A6"/>
    </w:rPr>
  </w:style>
  <w:style w:type="character" w:styleId="nfasisintenso">
    <w:name w:val="Intense Emphasis"/>
    <w:basedOn w:val="Fuentedeprrafopredeter"/>
    <w:uiPriority w:val="21"/>
    <w:qFormat/>
    <w:rsid w:val="00ED0955"/>
    <w:rPr>
      <w:b/>
      <w:bCs/>
      <w:i/>
      <w:iCs/>
    </w:rPr>
  </w:style>
  <w:style w:type="character" w:styleId="Referenciasutil">
    <w:name w:val="Subtle Reference"/>
    <w:basedOn w:val="Fuentedeprrafopredeter"/>
    <w:uiPriority w:val="31"/>
    <w:qFormat/>
    <w:rsid w:val="00ED0955"/>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ED0955"/>
    <w:rPr>
      <w:b/>
      <w:bCs/>
      <w:smallCaps/>
      <w:color w:val="44546A" w:themeColor="text2"/>
      <w:u w:val="single"/>
    </w:rPr>
  </w:style>
  <w:style w:type="character" w:styleId="Ttulodellibro">
    <w:name w:val="Book Title"/>
    <w:basedOn w:val="Fuentedeprrafopredeter"/>
    <w:uiPriority w:val="33"/>
    <w:qFormat/>
    <w:rsid w:val="00ED0955"/>
    <w:rPr>
      <w:b/>
      <w:bCs/>
      <w:smallCaps/>
      <w:spacing w:val="10"/>
    </w:rPr>
  </w:style>
  <w:style w:type="paragraph" w:customStyle="1" w:styleId="Estilo1">
    <w:name w:val="Estilo1"/>
    <w:basedOn w:val="Ttulo1"/>
    <w:link w:val="Estilo1Car"/>
    <w:uiPriority w:val="99"/>
    <w:rsid w:val="00DA13CE"/>
    <w:pPr>
      <w:spacing w:before="480" w:after="240" w:line="276" w:lineRule="auto"/>
      <w:jc w:val="left"/>
    </w:pPr>
    <w:rPr>
      <w:rFonts w:ascii="Cambria" w:eastAsia="Times New Roman" w:hAnsi="Cambria" w:cs="Times New Roman"/>
      <w:b w:val="0"/>
      <w:bCs/>
      <w:color w:val="2E74B5" w:themeColor="accent1" w:themeShade="BF"/>
      <w:szCs w:val="28"/>
      <w:u w:val="single"/>
      <w:lang w:val="es-AR"/>
    </w:rPr>
  </w:style>
  <w:style w:type="character" w:customStyle="1" w:styleId="Estilo1Car">
    <w:name w:val="Estilo1 Car"/>
    <w:basedOn w:val="Ttulo1Car"/>
    <w:link w:val="Estilo1"/>
    <w:uiPriority w:val="99"/>
    <w:locked/>
    <w:rsid w:val="00DA13CE"/>
    <w:rPr>
      <w:rFonts w:ascii="Cambria" w:eastAsia="Times New Roman" w:hAnsi="Cambria" w:cs="Times New Roman"/>
      <w:b w:val="0"/>
      <w:bCs/>
      <w:color w:val="2E74B5" w:themeColor="accent1" w:themeShade="BF"/>
      <w:sz w:val="28"/>
      <w:szCs w:val="28"/>
      <w:u w:val="single"/>
      <w:lang w:val="es-AR"/>
    </w:rPr>
  </w:style>
  <w:style w:type="table" w:styleId="Tabladecuadrcula1clara">
    <w:name w:val="Grid Table 1 Light"/>
    <w:basedOn w:val="Tablanormal"/>
    <w:uiPriority w:val="46"/>
    <w:rsid w:val="00D640D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EB56BD"/>
    <w:pPr>
      <w:spacing w:before="100" w:beforeAutospacing="1" w:after="100" w:afterAutospacing="1" w:line="240" w:lineRule="auto"/>
      <w:jc w:val="left"/>
    </w:pPr>
    <w:rPr>
      <w:rFonts w:ascii="Times New Roman" w:hAnsi="Times New Roman" w:cs="Times New Roman"/>
      <w:sz w:val="24"/>
      <w:szCs w:val="24"/>
    </w:rPr>
  </w:style>
  <w:style w:type="table" w:styleId="Tablaconcuadrcula">
    <w:name w:val="Table Grid"/>
    <w:basedOn w:val="Tablanormal"/>
    <w:uiPriority w:val="39"/>
    <w:rsid w:val="00F36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4121"/>
    <w:pPr>
      <w:autoSpaceDE w:val="0"/>
      <w:autoSpaceDN w:val="0"/>
      <w:adjustRightInd w:val="0"/>
      <w:spacing w:after="0" w:line="240" w:lineRule="auto"/>
    </w:pPr>
    <w:rPr>
      <w:rFonts w:ascii="Arial" w:eastAsiaTheme="minorHAnsi" w:hAnsi="Arial" w:cs="Arial"/>
      <w:color w:val="000000"/>
      <w:sz w:val="24"/>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34245">
      <w:bodyDiv w:val="1"/>
      <w:marLeft w:val="0"/>
      <w:marRight w:val="0"/>
      <w:marTop w:val="0"/>
      <w:marBottom w:val="0"/>
      <w:divBdr>
        <w:top w:val="none" w:sz="0" w:space="0" w:color="auto"/>
        <w:left w:val="none" w:sz="0" w:space="0" w:color="auto"/>
        <w:bottom w:val="none" w:sz="0" w:space="0" w:color="auto"/>
        <w:right w:val="none" w:sz="0" w:space="0" w:color="auto"/>
      </w:divBdr>
    </w:div>
    <w:div w:id="60491222">
      <w:bodyDiv w:val="1"/>
      <w:marLeft w:val="0"/>
      <w:marRight w:val="0"/>
      <w:marTop w:val="0"/>
      <w:marBottom w:val="0"/>
      <w:divBdr>
        <w:top w:val="none" w:sz="0" w:space="0" w:color="auto"/>
        <w:left w:val="none" w:sz="0" w:space="0" w:color="auto"/>
        <w:bottom w:val="none" w:sz="0" w:space="0" w:color="auto"/>
        <w:right w:val="none" w:sz="0" w:space="0" w:color="auto"/>
      </w:divBdr>
    </w:div>
    <w:div w:id="82842598">
      <w:bodyDiv w:val="1"/>
      <w:marLeft w:val="0"/>
      <w:marRight w:val="0"/>
      <w:marTop w:val="0"/>
      <w:marBottom w:val="0"/>
      <w:divBdr>
        <w:top w:val="none" w:sz="0" w:space="0" w:color="auto"/>
        <w:left w:val="none" w:sz="0" w:space="0" w:color="auto"/>
        <w:bottom w:val="none" w:sz="0" w:space="0" w:color="auto"/>
        <w:right w:val="none" w:sz="0" w:space="0" w:color="auto"/>
      </w:divBdr>
    </w:div>
    <w:div w:id="108356594">
      <w:bodyDiv w:val="1"/>
      <w:marLeft w:val="0"/>
      <w:marRight w:val="0"/>
      <w:marTop w:val="0"/>
      <w:marBottom w:val="0"/>
      <w:divBdr>
        <w:top w:val="none" w:sz="0" w:space="0" w:color="auto"/>
        <w:left w:val="none" w:sz="0" w:space="0" w:color="auto"/>
        <w:bottom w:val="none" w:sz="0" w:space="0" w:color="auto"/>
        <w:right w:val="none" w:sz="0" w:space="0" w:color="auto"/>
      </w:divBdr>
    </w:div>
    <w:div w:id="131559060">
      <w:bodyDiv w:val="1"/>
      <w:marLeft w:val="0"/>
      <w:marRight w:val="0"/>
      <w:marTop w:val="0"/>
      <w:marBottom w:val="0"/>
      <w:divBdr>
        <w:top w:val="none" w:sz="0" w:space="0" w:color="auto"/>
        <w:left w:val="none" w:sz="0" w:space="0" w:color="auto"/>
        <w:bottom w:val="none" w:sz="0" w:space="0" w:color="auto"/>
        <w:right w:val="none" w:sz="0" w:space="0" w:color="auto"/>
      </w:divBdr>
    </w:div>
    <w:div w:id="220554781">
      <w:bodyDiv w:val="1"/>
      <w:marLeft w:val="0"/>
      <w:marRight w:val="0"/>
      <w:marTop w:val="0"/>
      <w:marBottom w:val="0"/>
      <w:divBdr>
        <w:top w:val="none" w:sz="0" w:space="0" w:color="auto"/>
        <w:left w:val="none" w:sz="0" w:space="0" w:color="auto"/>
        <w:bottom w:val="none" w:sz="0" w:space="0" w:color="auto"/>
        <w:right w:val="none" w:sz="0" w:space="0" w:color="auto"/>
      </w:divBdr>
    </w:div>
    <w:div w:id="221257023">
      <w:bodyDiv w:val="1"/>
      <w:marLeft w:val="0"/>
      <w:marRight w:val="0"/>
      <w:marTop w:val="0"/>
      <w:marBottom w:val="0"/>
      <w:divBdr>
        <w:top w:val="none" w:sz="0" w:space="0" w:color="auto"/>
        <w:left w:val="none" w:sz="0" w:space="0" w:color="auto"/>
        <w:bottom w:val="none" w:sz="0" w:space="0" w:color="auto"/>
        <w:right w:val="none" w:sz="0" w:space="0" w:color="auto"/>
      </w:divBdr>
    </w:div>
    <w:div w:id="224800262">
      <w:bodyDiv w:val="1"/>
      <w:marLeft w:val="0"/>
      <w:marRight w:val="0"/>
      <w:marTop w:val="0"/>
      <w:marBottom w:val="0"/>
      <w:divBdr>
        <w:top w:val="none" w:sz="0" w:space="0" w:color="auto"/>
        <w:left w:val="none" w:sz="0" w:space="0" w:color="auto"/>
        <w:bottom w:val="none" w:sz="0" w:space="0" w:color="auto"/>
        <w:right w:val="none" w:sz="0" w:space="0" w:color="auto"/>
      </w:divBdr>
    </w:div>
    <w:div w:id="230583695">
      <w:bodyDiv w:val="1"/>
      <w:marLeft w:val="0"/>
      <w:marRight w:val="0"/>
      <w:marTop w:val="0"/>
      <w:marBottom w:val="0"/>
      <w:divBdr>
        <w:top w:val="none" w:sz="0" w:space="0" w:color="auto"/>
        <w:left w:val="none" w:sz="0" w:space="0" w:color="auto"/>
        <w:bottom w:val="none" w:sz="0" w:space="0" w:color="auto"/>
        <w:right w:val="none" w:sz="0" w:space="0" w:color="auto"/>
      </w:divBdr>
    </w:div>
    <w:div w:id="241255607">
      <w:bodyDiv w:val="1"/>
      <w:marLeft w:val="0"/>
      <w:marRight w:val="0"/>
      <w:marTop w:val="0"/>
      <w:marBottom w:val="0"/>
      <w:divBdr>
        <w:top w:val="none" w:sz="0" w:space="0" w:color="auto"/>
        <w:left w:val="none" w:sz="0" w:space="0" w:color="auto"/>
        <w:bottom w:val="none" w:sz="0" w:space="0" w:color="auto"/>
        <w:right w:val="none" w:sz="0" w:space="0" w:color="auto"/>
      </w:divBdr>
    </w:div>
    <w:div w:id="244264913">
      <w:bodyDiv w:val="1"/>
      <w:marLeft w:val="0"/>
      <w:marRight w:val="0"/>
      <w:marTop w:val="0"/>
      <w:marBottom w:val="0"/>
      <w:divBdr>
        <w:top w:val="none" w:sz="0" w:space="0" w:color="auto"/>
        <w:left w:val="none" w:sz="0" w:space="0" w:color="auto"/>
        <w:bottom w:val="none" w:sz="0" w:space="0" w:color="auto"/>
        <w:right w:val="none" w:sz="0" w:space="0" w:color="auto"/>
      </w:divBdr>
    </w:div>
    <w:div w:id="268197826">
      <w:bodyDiv w:val="1"/>
      <w:marLeft w:val="0"/>
      <w:marRight w:val="0"/>
      <w:marTop w:val="0"/>
      <w:marBottom w:val="0"/>
      <w:divBdr>
        <w:top w:val="none" w:sz="0" w:space="0" w:color="auto"/>
        <w:left w:val="none" w:sz="0" w:space="0" w:color="auto"/>
        <w:bottom w:val="none" w:sz="0" w:space="0" w:color="auto"/>
        <w:right w:val="none" w:sz="0" w:space="0" w:color="auto"/>
      </w:divBdr>
    </w:div>
    <w:div w:id="268587582">
      <w:bodyDiv w:val="1"/>
      <w:marLeft w:val="0"/>
      <w:marRight w:val="0"/>
      <w:marTop w:val="0"/>
      <w:marBottom w:val="0"/>
      <w:divBdr>
        <w:top w:val="none" w:sz="0" w:space="0" w:color="auto"/>
        <w:left w:val="none" w:sz="0" w:space="0" w:color="auto"/>
        <w:bottom w:val="none" w:sz="0" w:space="0" w:color="auto"/>
        <w:right w:val="none" w:sz="0" w:space="0" w:color="auto"/>
      </w:divBdr>
    </w:div>
    <w:div w:id="270674660">
      <w:bodyDiv w:val="1"/>
      <w:marLeft w:val="0"/>
      <w:marRight w:val="0"/>
      <w:marTop w:val="0"/>
      <w:marBottom w:val="0"/>
      <w:divBdr>
        <w:top w:val="none" w:sz="0" w:space="0" w:color="auto"/>
        <w:left w:val="none" w:sz="0" w:space="0" w:color="auto"/>
        <w:bottom w:val="none" w:sz="0" w:space="0" w:color="auto"/>
        <w:right w:val="none" w:sz="0" w:space="0" w:color="auto"/>
      </w:divBdr>
    </w:div>
    <w:div w:id="285548602">
      <w:bodyDiv w:val="1"/>
      <w:marLeft w:val="0"/>
      <w:marRight w:val="0"/>
      <w:marTop w:val="0"/>
      <w:marBottom w:val="0"/>
      <w:divBdr>
        <w:top w:val="none" w:sz="0" w:space="0" w:color="auto"/>
        <w:left w:val="none" w:sz="0" w:space="0" w:color="auto"/>
        <w:bottom w:val="none" w:sz="0" w:space="0" w:color="auto"/>
        <w:right w:val="none" w:sz="0" w:space="0" w:color="auto"/>
      </w:divBdr>
    </w:div>
    <w:div w:id="285739288">
      <w:bodyDiv w:val="1"/>
      <w:marLeft w:val="0"/>
      <w:marRight w:val="0"/>
      <w:marTop w:val="0"/>
      <w:marBottom w:val="0"/>
      <w:divBdr>
        <w:top w:val="none" w:sz="0" w:space="0" w:color="auto"/>
        <w:left w:val="none" w:sz="0" w:space="0" w:color="auto"/>
        <w:bottom w:val="none" w:sz="0" w:space="0" w:color="auto"/>
        <w:right w:val="none" w:sz="0" w:space="0" w:color="auto"/>
      </w:divBdr>
    </w:div>
    <w:div w:id="290357044">
      <w:bodyDiv w:val="1"/>
      <w:marLeft w:val="0"/>
      <w:marRight w:val="0"/>
      <w:marTop w:val="0"/>
      <w:marBottom w:val="0"/>
      <w:divBdr>
        <w:top w:val="none" w:sz="0" w:space="0" w:color="auto"/>
        <w:left w:val="none" w:sz="0" w:space="0" w:color="auto"/>
        <w:bottom w:val="none" w:sz="0" w:space="0" w:color="auto"/>
        <w:right w:val="none" w:sz="0" w:space="0" w:color="auto"/>
      </w:divBdr>
    </w:div>
    <w:div w:id="301278761">
      <w:bodyDiv w:val="1"/>
      <w:marLeft w:val="0"/>
      <w:marRight w:val="0"/>
      <w:marTop w:val="0"/>
      <w:marBottom w:val="0"/>
      <w:divBdr>
        <w:top w:val="none" w:sz="0" w:space="0" w:color="auto"/>
        <w:left w:val="none" w:sz="0" w:space="0" w:color="auto"/>
        <w:bottom w:val="none" w:sz="0" w:space="0" w:color="auto"/>
        <w:right w:val="none" w:sz="0" w:space="0" w:color="auto"/>
      </w:divBdr>
    </w:div>
    <w:div w:id="331835147">
      <w:bodyDiv w:val="1"/>
      <w:marLeft w:val="0"/>
      <w:marRight w:val="0"/>
      <w:marTop w:val="0"/>
      <w:marBottom w:val="0"/>
      <w:divBdr>
        <w:top w:val="none" w:sz="0" w:space="0" w:color="auto"/>
        <w:left w:val="none" w:sz="0" w:space="0" w:color="auto"/>
        <w:bottom w:val="none" w:sz="0" w:space="0" w:color="auto"/>
        <w:right w:val="none" w:sz="0" w:space="0" w:color="auto"/>
      </w:divBdr>
    </w:div>
    <w:div w:id="337656936">
      <w:bodyDiv w:val="1"/>
      <w:marLeft w:val="0"/>
      <w:marRight w:val="0"/>
      <w:marTop w:val="0"/>
      <w:marBottom w:val="0"/>
      <w:divBdr>
        <w:top w:val="none" w:sz="0" w:space="0" w:color="auto"/>
        <w:left w:val="none" w:sz="0" w:space="0" w:color="auto"/>
        <w:bottom w:val="none" w:sz="0" w:space="0" w:color="auto"/>
        <w:right w:val="none" w:sz="0" w:space="0" w:color="auto"/>
      </w:divBdr>
    </w:div>
    <w:div w:id="345518971">
      <w:bodyDiv w:val="1"/>
      <w:marLeft w:val="0"/>
      <w:marRight w:val="0"/>
      <w:marTop w:val="0"/>
      <w:marBottom w:val="0"/>
      <w:divBdr>
        <w:top w:val="none" w:sz="0" w:space="0" w:color="auto"/>
        <w:left w:val="none" w:sz="0" w:space="0" w:color="auto"/>
        <w:bottom w:val="none" w:sz="0" w:space="0" w:color="auto"/>
        <w:right w:val="none" w:sz="0" w:space="0" w:color="auto"/>
      </w:divBdr>
    </w:div>
    <w:div w:id="345864031">
      <w:bodyDiv w:val="1"/>
      <w:marLeft w:val="0"/>
      <w:marRight w:val="0"/>
      <w:marTop w:val="0"/>
      <w:marBottom w:val="0"/>
      <w:divBdr>
        <w:top w:val="none" w:sz="0" w:space="0" w:color="auto"/>
        <w:left w:val="none" w:sz="0" w:space="0" w:color="auto"/>
        <w:bottom w:val="none" w:sz="0" w:space="0" w:color="auto"/>
        <w:right w:val="none" w:sz="0" w:space="0" w:color="auto"/>
      </w:divBdr>
    </w:div>
    <w:div w:id="403725337">
      <w:bodyDiv w:val="1"/>
      <w:marLeft w:val="0"/>
      <w:marRight w:val="0"/>
      <w:marTop w:val="0"/>
      <w:marBottom w:val="0"/>
      <w:divBdr>
        <w:top w:val="none" w:sz="0" w:space="0" w:color="auto"/>
        <w:left w:val="none" w:sz="0" w:space="0" w:color="auto"/>
        <w:bottom w:val="none" w:sz="0" w:space="0" w:color="auto"/>
        <w:right w:val="none" w:sz="0" w:space="0" w:color="auto"/>
      </w:divBdr>
    </w:div>
    <w:div w:id="409616827">
      <w:bodyDiv w:val="1"/>
      <w:marLeft w:val="0"/>
      <w:marRight w:val="0"/>
      <w:marTop w:val="0"/>
      <w:marBottom w:val="0"/>
      <w:divBdr>
        <w:top w:val="none" w:sz="0" w:space="0" w:color="auto"/>
        <w:left w:val="none" w:sz="0" w:space="0" w:color="auto"/>
        <w:bottom w:val="none" w:sz="0" w:space="0" w:color="auto"/>
        <w:right w:val="none" w:sz="0" w:space="0" w:color="auto"/>
      </w:divBdr>
    </w:div>
    <w:div w:id="415978090">
      <w:bodyDiv w:val="1"/>
      <w:marLeft w:val="0"/>
      <w:marRight w:val="0"/>
      <w:marTop w:val="0"/>
      <w:marBottom w:val="0"/>
      <w:divBdr>
        <w:top w:val="none" w:sz="0" w:space="0" w:color="auto"/>
        <w:left w:val="none" w:sz="0" w:space="0" w:color="auto"/>
        <w:bottom w:val="none" w:sz="0" w:space="0" w:color="auto"/>
        <w:right w:val="none" w:sz="0" w:space="0" w:color="auto"/>
      </w:divBdr>
    </w:div>
    <w:div w:id="453328077">
      <w:bodyDiv w:val="1"/>
      <w:marLeft w:val="0"/>
      <w:marRight w:val="0"/>
      <w:marTop w:val="0"/>
      <w:marBottom w:val="0"/>
      <w:divBdr>
        <w:top w:val="none" w:sz="0" w:space="0" w:color="auto"/>
        <w:left w:val="none" w:sz="0" w:space="0" w:color="auto"/>
        <w:bottom w:val="none" w:sz="0" w:space="0" w:color="auto"/>
        <w:right w:val="none" w:sz="0" w:space="0" w:color="auto"/>
      </w:divBdr>
    </w:div>
    <w:div w:id="526065990">
      <w:bodyDiv w:val="1"/>
      <w:marLeft w:val="0"/>
      <w:marRight w:val="0"/>
      <w:marTop w:val="0"/>
      <w:marBottom w:val="0"/>
      <w:divBdr>
        <w:top w:val="none" w:sz="0" w:space="0" w:color="auto"/>
        <w:left w:val="none" w:sz="0" w:space="0" w:color="auto"/>
        <w:bottom w:val="none" w:sz="0" w:space="0" w:color="auto"/>
        <w:right w:val="none" w:sz="0" w:space="0" w:color="auto"/>
      </w:divBdr>
    </w:div>
    <w:div w:id="531847229">
      <w:bodyDiv w:val="1"/>
      <w:marLeft w:val="0"/>
      <w:marRight w:val="0"/>
      <w:marTop w:val="0"/>
      <w:marBottom w:val="0"/>
      <w:divBdr>
        <w:top w:val="none" w:sz="0" w:space="0" w:color="auto"/>
        <w:left w:val="none" w:sz="0" w:space="0" w:color="auto"/>
        <w:bottom w:val="none" w:sz="0" w:space="0" w:color="auto"/>
        <w:right w:val="none" w:sz="0" w:space="0" w:color="auto"/>
      </w:divBdr>
    </w:div>
    <w:div w:id="537202484">
      <w:bodyDiv w:val="1"/>
      <w:marLeft w:val="0"/>
      <w:marRight w:val="0"/>
      <w:marTop w:val="0"/>
      <w:marBottom w:val="0"/>
      <w:divBdr>
        <w:top w:val="none" w:sz="0" w:space="0" w:color="auto"/>
        <w:left w:val="none" w:sz="0" w:space="0" w:color="auto"/>
        <w:bottom w:val="none" w:sz="0" w:space="0" w:color="auto"/>
        <w:right w:val="none" w:sz="0" w:space="0" w:color="auto"/>
      </w:divBdr>
    </w:div>
    <w:div w:id="570625044">
      <w:bodyDiv w:val="1"/>
      <w:marLeft w:val="0"/>
      <w:marRight w:val="0"/>
      <w:marTop w:val="0"/>
      <w:marBottom w:val="0"/>
      <w:divBdr>
        <w:top w:val="none" w:sz="0" w:space="0" w:color="auto"/>
        <w:left w:val="none" w:sz="0" w:space="0" w:color="auto"/>
        <w:bottom w:val="none" w:sz="0" w:space="0" w:color="auto"/>
        <w:right w:val="none" w:sz="0" w:space="0" w:color="auto"/>
      </w:divBdr>
    </w:div>
    <w:div w:id="593251071">
      <w:bodyDiv w:val="1"/>
      <w:marLeft w:val="0"/>
      <w:marRight w:val="0"/>
      <w:marTop w:val="0"/>
      <w:marBottom w:val="0"/>
      <w:divBdr>
        <w:top w:val="none" w:sz="0" w:space="0" w:color="auto"/>
        <w:left w:val="none" w:sz="0" w:space="0" w:color="auto"/>
        <w:bottom w:val="none" w:sz="0" w:space="0" w:color="auto"/>
        <w:right w:val="none" w:sz="0" w:space="0" w:color="auto"/>
      </w:divBdr>
    </w:div>
    <w:div w:id="610093240">
      <w:bodyDiv w:val="1"/>
      <w:marLeft w:val="0"/>
      <w:marRight w:val="0"/>
      <w:marTop w:val="0"/>
      <w:marBottom w:val="0"/>
      <w:divBdr>
        <w:top w:val="none" w:sz="0" w:space="0" w:color="auto"/>
        <w:left w:val="none" w:sz="0" w:space="0" w:color="auto"/>
        <w:bottom w:val="none" w:sz="0" w:space="0" w:color="auto"/>
        <w:right w:val="none" w:sz="0" w:space="0" w:color="auto"/>
      </w:divBdr>
    </w:div>
    <w:div w:id="615403802">
      <w:bodyDiv w:val="1"/>
      <w:marLeft w:val="0"/>
      <w:marRight w:val="0"/>
      <w:marTop w:val="0"/>
      <w:marBottom w:val="0"/>
      <w:divBdr>
        <w:top w:val="none" w:sz="0" w:space="0" w:color="auto"/>
        <w:left w:val="none" w:sz="0" w:space="0" w:color="auto"/>
        <w:bottom w:val="none" w:sz="0" w:space="0" w:color="auto"/>
        <w:right w:val="none" w:sz="0" w:space="0" w:color="auto"/>
      </w:divBdr>
    </w:div>
    <w:div w:id="628126874">
      <w:bodyDiv w:val="1"/>
      <w:marLeft w:val="0"/>
      <w:marRight w:val="0"/>
      <w:marTop w:val="0"/>
      <w:marBottom w:val="0"/>
      <w:divBdr>
        <w:top w:val="none" w:sz="0" w:space="0" w:color="auto"/>
        <w:left w:val="none" w:sz="0" w:space="0" w:color="auto"/>
        <w:bottom w:val="none" w:sz="0" w:space="0" w:color="auto"/>
        <w:right w:val="none" w:sz="0" w:space="0" w:color="auto"/>
      </w:divBdr>
    </w:div>
    <w:div w:id="674458423">
      <w:bodyDiv w:val="1"/>
      <w:marLeft w:val="0"/>
      <w:marRight w:val="0"/>
      <w:marTop w:val="0"/>
      <w:marBottom w:val="0"/>
      <w:divBdr>
        <w:top w:val="none" w:sz="0" w:space="0" w:color="auto"/>
        <w:left w:val="none" w:sz="0" w:space="0" w:color="auto"/>
        <w:bottom w:val="none" w:sz="0" w:space="0" w:color="auto"/>
        <w:right w:val="none" w:sz="0" w:space="0" w:color="auto"/>
      </w:divBdr>
    </w:div>
    <w:div w:id="726537277">
      <w:bodyDiv w:val="1"/>
      <w:marLeft w:val="0"/>
      <w:marRight w:val="0"/>
      <w:marTop w:val="0"/>
      <w:marBottom w:val="0"/>
      <w:divBdr>
        <w:top w:val="none" w:sz="0" w:space="0" w:color="auto"/>
        <w:left w:val="none" w:sz="0" w:space="0" w:color="auto"/>
        <w:bottom w:val="none" w:sz="0" w:space="0" w:color="auto"/>
        <w:right w:val="none" w:sz="0" w:space="0" w:color="auto"/>
      </w:divBdr>
    </w:div>
    <w:div w:id="745304604">
      <w:bodyDiv w:val="1"/>
      <w:marLeft w:val="0"/>
      <w:marRight w:val="0"/>
      <w:marTop w:val="0"/>
      <w:marBottom w:val="0"/>
      <w:divBdr>
        <w:top w:val="none" w:sz="0" w:space="0" w:color="auto"/>
        <w:left w:val="none" w:sz="0" w:space="0" w:color="auto"/>
        <w:bottom w:val="none" w:sz="0" w:space="0" w:color="auto"/>
        <w:right w:val="none" w:sz="0" w:space="0" w:color="auto"/>
      </w:divBdr>
    </w:div>
    <w:div w:id="746420059">
      <w:bodyDiv w:val="1"/>
      <w:marLeft w:val="0"/>
      <w:marRight w:val="0"/>
      <w:marTop w:val="0"/>
      <w:marBottom w:val="0"/>
      <w:divBdr>
        <w:top w:val="none" w:sz="0" w:space="0" w:color="auto"/>
        <w:left w:val="none" w:sz="0" w:space="0" w:color="auto"/>
        <w:bottom w:val="none" w:sz="0" w:space="0" w:color="auto"/>
        <w:right w:val="none" w:sz="0" w:space="0" w:color="auto"/>
      </w:divBdr>
    </w:div>
    <w:div w:id="756484753">
      <w:bodyDiv w:val="1"/>
      <w:marLeft w:val="0"/>
      <w:marRight w:val="0"/>
      <w:marTop w:val="0"/>
      <w:marBottom w:val="0"/>
      <w:divBdr>
        <w:top w:val="none" w:sz="0" w:space="0" w:color="auto"/>
        <w:left w:val="none" w:sz="0" w:space="0" w:color="auto"/>
        <w:bottom w:val="none" w:sz="0" w:space="0" w:color="auto"/>
        <w:right w:val="none" w:sz="0" w:space="0" w:color="auto"/>
      </w:divBdr>
    </w:div>
    <w:div w:id="788359702">
      <w:bodyDiv w:val="1"/>
      <w:marLeft w:val="0"/>
      <w:marRight w:val="0"/>
      <w:marTop w:val="0"/>
      <w:marBottom w:val="0"/>
      <w:divBdr>
        <w:top w:val="none" w:sz="0" w:space="0" w:color="auto"/>
        <w:left w:val="none" w:sz="0" w:space="0" w:color="auto"/>
        <w:bottom w:val="none" w:sz="0" w:space="0" w:color="auto"/>
        <w:right w:val="none" w:sz="0" w:space="0" w:color="auto"/>
      </w:divBdr>
    </w:div>
    <w:div w:id="801844700">
      <w:bodyDiv w:val="1"/>
      <w:marLeft w:val="0"/>
      <w:marRight w:val="0"/>
      <w:marTop w:val="0"/>
      <w:marBottom w:val="0"/>
      <w:divBdr>
        <w:top w:val="none" w:sz="0" w:space="0" w:color="auto"/>
        <w:left w:val="none" w:sz="0" w:space="0" w:color="auto"/>
        <w:bottom w:val="none" w:sz="0" w:space="0" w:color="auto"/>
        <w:right w:val="none" w:sz="0" w:space="0" w:color="auto"/>
      </w:divBdr>
    </w:div>
    <w:div w:id="812525479">
      <w:bodyDiv w:val="1"/>
      <w:marLeft w:val="0"/>
      <w:marRight w:val="0"/>
      <w:marTop w:val="0"/>
      <w:marBottom w:val="0"/>
      <w:divBdr>
        <w:top w:val="none" w:sz="0" w:space="0" w:color="auto"/>
        <w:left w:val="none" w:sz="0" w:space="0" w:color="auto"/>
        <w:bottom w:val="none" w:sz="0" w:space="0" w:color="auto"/>
        <w:right w:val="none" w:sz="0" w:space="0" w:color="auto"/>
      </w:divBdr>
    </w:div>
    <w:div w:id="818544939">
      <w:bodyDiv w:val="1"/>
      <w:marLeft w:val="0"/>
      <w:marRight w:val="0"/>
      <w:marTop w:val="0"/>
      <w:marBottom w:val="0"/>
      <w:divBdr>
        <w:top w:val="none" w:sz="0" w:space="0" w:color="auto"/>
        <w:left w:val="none" w:sz="0" w:space="0" w:color="auto"/>
        <w:bottom w:val="none" w:sz="0" w:space="0" w:color="auto"/>
        <w:right w:val="none" w:sz="0" w:space="0" w:color="auto"/>
      </w:divBdr>
    </w:div>
    <w:div w:id="835729934">
      <w:bodyDiv w:val="1"/>
      <w:marLeft w:val="0"/>
      <w:marRight w:val="0"/>
      <w:marTop w:val="0"/>
      <w:marBottom w:val="0"/>
      <w:divBdr>
        <w:top w:val="none" w:sz="0" w:space="0" w:color="auto"/>
        <w:left w:val="none" w:sz="0" w:space="0" w:color="auto"/>
        <w:bottom w:val="none" w:sz="0" w:space="0" w:color="auto"/>
        <w:right w:val="none" w:sz="0" w:space="0" w:color="auto"/>
      </w:divBdr>
    </w:div>
    <w:div w:id="840505562">
      <w:bodyDiv w:val="1"/>
      <w:marLeft w:val="0"/>
      <w:marRight w:val="0"/>
      <w:marTop w:val="0"/>
      <w:marBottom w:val="0"/>
      <w:divBdr>
        <w:top w:val="none" w:sz="0" w:space="0" w:color="auto"/>
        <w:left w:val="none" w:sz="0" w:space="0" w:color="auto"/>
        <w:bottom w:val="none" w:sz="0" w:space="0" w:color="auto"/>
        <w:right w:val="none" w:sz="0" w:space="0" w:color="auto"/>
      </w:divBdr>
    </w:div>
    <w:div w:id="845438065">
      <w:bodyDiv w:val="1"/>
      <w:marLeft w:val="0"/>
      <w:marRight w:val="0"/>
      <w:marTop w:val="0"/>
      <w:marBottom w:val="0"/>
      <w:divBdr>
        <w:top w:val="none" w:sz="0" w:space="0" w:color="auto"/>
        <w:left w:val="none" w:sz="0" w:space="0" w:color="auto"/>
        <w:bottom w:val="none" w:sz="0" w:space="0" w:color="auto"/>
        <w:right w:val="none" w:sz="0" w:space="0" w:color="auto"/>
      </w:divBdr>
    </w:div>
    <w:div w:id="847212599">
      <w:bodyDiv w:val="1"/>
      <w:marLeft w:val="0"/>
      <w:marRight w:val="0"/>
      <w:marTop w:val="0"/>
      <w:marBottom w:val="0"/>
      <w:divBdr>
        <w:top w:val="none" w:sz="0" w:space="0" w:color="auto"/>
        <w:left w:val="none" w:sz="0" w:space="0" w:color="auto"/>
        <w:bottom w:val="none" w:sz="0" w:space="0" w:color="auto"/>
        <w:right w:val="none" w:sz="0" w:space="0" w:color="auto"/>
      </w:divBdr>
    </w:div>
    <w:div w:id="882979498">
      <w:bodyDiv w:val="1"/>
      <w:marLeft w:val="0"/>
      <w:marRight w:val="0"/>
      <w:marTop w:val="0"/>
      <w:marBottom w:val="0"/>
      <w:divBdr>
        <w:top w:val="none" w:sz="0" w:space="0" w:color="auto"/>
        <w:left w:val="none" w:sz="0" w:space="0" w:color="auto"/>
        <w:bottom w:val="none" w:sz="0" w:space="0" w:color="auto"/>
        <w:right w:val="none" w:sz="0" w:space="0" w:color="auto"/>
      </w:divBdr>
    </w:div>
    <w:div w:id="925501374">
      <w:bodyDiv w:val="1"/>
      <w:marLeft w:val="0"/>
      <w:marRight w:val="0"/>
      <w:marTop w:val="0"/>
      <w:marBottom w:val="0"/>
      <w:divBdr>
        <w:top w:val="none" w:sz="0" w:space="0" w:color="auto"/>
        <w:left w:val="none" w:sz="0" w:space="0" w:color="auto"/>
        <w:bottom w:val="none" w:sz="0" w:space="0" w:color="auto"/>
        <w:right w:val="none" w:sz="0" w:space="0" w:color="auto"/>
      </w:divBdr>
    </w:div>
    <w:div w:id="929461101">
      <w:bodyDiv w:val="1"/>
      <w:marLeft w:val="0"/>
      <w:marRight w:val="0"/>
      <w:marTop w:val="0"/>
      <w:marBottom w:val="0"/>
      <w:divBdr>
        <w:top w:val="none" w:sz="0" w:space="0" w:color="auto"/>
        <w:left w:val="none" w:sz="0" w:space="0" w:color="auto"/>
        <w:bottom w:val="none" w:sz="0" w:space="0" w:color="auto"/>
        <w:right w:val="none" w:sz="0" w:space="0" w:color="auto"/>
      </w:divBdr>
    </w:div>
    <w:div w:id="942031052">
      <w:bodyDiv w:val="1"/>
      <w:marLeft w:val="0"/>
      <w:marRight w:val="0"/>
      <w:marTop w:val="0"/>
      <w:marBottom w:val="0"/>
      <w:divBdr>
        <w:top w:val="none" w:sz="0" w:space="0" w:color="auto"/>
        <w:left w:val="none" w:sz="0" w:space="0" w:color="auto"/>
        <w:bottom w:val="none" w:sz="0" w:space="0" w:color="auto"/>
        <w:right w:val="none" w:sz="0" w:space="0" w:color="auto"/>
      </w:divBdr>
    </w:div>
    <w:div w:id="957375365">
      <w:bodyDiv w:val="1"/>
      <w:marLeft w:val="0"/>
      <w:marRight w:val="0"/>
      <w:marTop w:val="0"/>
      <w:marBottom w:val="0"/>
      <w:divBdr>
        <w:top w:val="none" w:sz="0" w:space="0" w:color="auto"/>
        <w:left w:val="none" w:sz="0" w:space="0" w:color="auto"/>
        <w:bottom w:val="none" w:sz="0" w:space="0" w:color="auto"/>
        <w:right w:val="none" w:sz="0" w:space="0" w:color="auto"/>
      </w:divBdr>
      <w:divsChild>
        <w:div w:id="865603887">
          <w:marLeft w:val="446"/>
          <w:marRight w:val="0"/>
          <w:marTop w:val="0"/>
          <w:marBottom w:val="0"/>
          <w:divBdr>
            <w:top w:val="none" w:sz="0" w:space="0" w:color="auto"/>
            <w:left w:val="none" w:sz="0" w:space="0" w:color="auto"/>
            <w:bottom w:val="none" w:sz="0" w:space="0" w:color="auto"/>
            <w:right w:val="none" w:sz="0" w:space="0" w:color="auto"/>
          </w:divBdr>
        </w:div>
      </w:divsChild>
    </w:div>
    <w:div w:id="968973828">
      <w:bodyDiv w:val="1"/>
      <w:marLeft w:val="0"/>
      <w:marRight w:val="0"/>
      <w:marTop w:val="0"/>
      <w:marBottom w:val="0"/>
      <w:divBdr>
        <w:top w:val="none" w:sz="0" w:space="0" w:color="auto"/>
        <w:left w:val="none" w:sz="0" w:space="0" w:color="auto"/>
        <w:bottom w:val="none" w:sz="0" w:space="0" w:color="auto"/>
        <w:right w:val="none" w:sz="0" w:space="0" w:color="auto"/>
      </w:divBdr>
    </w:div>
    <w:div w:id="977032206">
      <w:bodyDiv w:val="1"/>
      <w:marLeft w:val="0"/>
      <w:marRight w:val="0"/>
      <w:marTop w:val="0"/>
      <w:marBottom w:val="0"/>
      <w:divBdr>
        <w:top w:val="none" w:sz="0" w:space="0" w:color="auto"/>
        <w:left w:val="none" w:sz="0" w:space="0" w:color="auto"/>
        <w:bottom w:val="none" w:sz="0" w:space="0" w:color="auto"/>
        <w:right w:val="none" w:sz="0" w:space="0" w:color="auto"/>
      </w:divBdr>
    </w:div>
    <w:div w:id="1011100858">
      <w:bodyDiv w:val="1"/>
      <w:marLeft w:val="0"/>
      <w:marRight w:val="0"/>
      <w:marTop w:val="0"/>
      <w:marBottom w:val="0"/>
      <w:divBdr>
        <w:top w:val="none" w:sz="0" w:space="0" w:color="auto"/>
        <w:left w:val="none" w:sz="0" w:space="0" w:color="auto"/>
        <w:bottom w:val="none" w:sz="0" w:space="0" w:color="auto"/>
        <w:right w:val="none" w:sz="0" w:space="0" w:color="auto"/>
      </w:divBdr>
    </w:div>
    <w:div w:id="1029717072">
      <w:bodyDiv w:val="1"/>
      <w:marLeft w:val="0"/>
      <w:marRight w:val="0"/>
      <w:marTop w:val="0"/>
      <w:marBottom w:val="0"/>
      <w:divBdr>
        <w:top w:val="none" w:sz="0" w:space="0" w:color="auto"/>
        <w:left w:val="none" w:sz="0" w:space="0" w:color="auto"/>
        <w:bottom w:val="none" w:sz="0" w:space="0" w:color="auto"/>
        <w:right w:val="none" w:sz="0" w:space="0" w:color="auto"/>
      </w:divBdr>
    </w:div>
    <w:div w:id="1032222056">
      <w:bodyDiv w:val="1"/>
      <w:marLeft w:val="0"/>
      <w:marRight w:val="0"/>
      <w:marTop w:val="0"/>
      <w:marBottom w:val="0"/>
      <w:divBdr>
        <w:top w:val="none" w:sz="0" w:space="0" w:color="auto"/>
        <w:left w:val="none" w:sz="0" w:space="0" w:color="auto"/>
        <w:bottom w:val="none" w:sz="0" w:space="0" w:color="auto"/>
        <w:right w:val="none" w:sz="0" w:space="0" w:color="auto"/>
      </w:divBdr>
    </w:div>
    <w:div w:id="1033113744">
      <w:bodyDiv w:val="1"/>
      <w:marLeft w:val="0"/>
      <w:marRight w:val="0"/>
      <w:marTop w:val="0"/>
      <w:marBottom w:val="0"/>
      <w:divBdr>
        <w:top w:val="none" w:sz="0" w:space="0" w:color="auto"/>
        <w:left w:val="none" w:sz="0" w:space="0" w:color="auto"/>
        <w:bottom w:val="none" w:sz="0" w:space="0" w:color="auto"/>
        <w:right w:val="none" w:sz="0" w:space="0" w:color="auto"/>
      </w:divBdr>
    </w:div>
    <w:div w:id="1035623282">
      <w:bodyDiv w:val="1"/>
      <w:marLeft w:val="0"/>
      <w:marRight w:val="0"/>
      <w:marTop w:val="0"/>
      <w:marBottom w:val="0"/>
      <w:divBdr>
        <w:top w:val="none" w:sz="0" w:space="0" w:color="auto"/>
        <w:left w:val="none" w:sz="0" w:space="0" w:color="auto"/>
        <w:bottom w:val="none" w:sz="0" w:space="0" w:color="auto"/>
        <w:right w:val="none" w:sz="0" w:space="0" w:color="auto"/>
      </w:divBdr>
    </w:div>
    <w:div w:id="1048912980">
      <w:bodyDiv w:val="1"/>
      <w:marLeft w:val="0"/>
      <w:marRight w:val="0"/>
      <w:marTop w:val="0"/>
      <w:marBottom w:val="0"/>
      <w:divBdr>
        <w:top w:val="none" w:sz="0" w:space="0" w:color="auto"/>
        <w:left w:val="none" w:sz="0" w:space="0" w:color="auto"/>
        <w:bottom w:val="none" w:sz="0" w:space="0" w:color="auto"/>
        <w:right w:val="none" w:sz="0" w:space="0" w:color="auto"/>
      </w:divBdr>
    </w:div>
    <w:div w:id="1052267276">
      <w:bodyDiv w:val="1"/>
      <w:marLeft w:val="0"/>
      <w:marRight w:val="0"/>
      <w:marTop w:val="0"/>
      <w:marBottom w:val="0"/>
      <w:divBdr>
        <w:top w:val="none" w:sz="0" w:space="0" w:color="auto"/>
        <w:left w:val="none" w:sz="0" w:space="0" w:color="auto"/>
        <w:bottom w:val="none" w:sz="0" w:space="0" w:color="auto"/>
        <w:right w:val="none" w:sz="0" w:space="0" w:color="auto"/>
      </w:divBdr>
    </w:div>
    <w:div w:id="1053390036">
      <w:bodyDiv w:val="1"/>
      <w:marLeft w:val="0"/>
      <w:marRight w:val="0"/>
      <w:marTop w:val="0"/>
      <w:marBottom w:val="0"/>
      <w:divBdr>
        <w:top w:val="none" w:sz="0" w:space="0" w:color="auto"/>
        <w:left w:val="none" w:sz="0" w:space="0" w:color="auto"/>
        <w:bottom w:val="none" w:sz="0" w:space="0" w:color="auto"/>
        <w:right w:val="none" w:sz="0" w:space="0" w:color="auto"/>
      </w:divBdr>
    </w:div>
    <w:div w:id="1054736753">
      <w:bodyDiv w:val="1"/>
      <w:marLeft w:val="0"/>
      <w:marRight w:val="0"/>
      <w:marTop w:val="0"/>
      <w:marBottom w:val="0"/>
      <w:divBdr>
        <w:top w:val="none" w:sz="0" w:space="0" w:color="auto"/>
        <w:left w:val="none" w:sz="0" w:space="0" w:color="auto"/>
        <w:bottom w:val="none" w:sz="0" w:space="0" w:color="auto"/>
        <w:right w:val="none" w:sz="0" w:space="0" w:color="auto"/>
      </w:divBdr>
      <w:divsChild>
        <w:div w:id="54009429">
          <w:marLeft w:val="1166"/>
          <w:marRight w:val="0"/>
          <w:marTop w:val="0"/>
          <w:marBottom w:val="0"/>
          <w:divBdr>
            <w:top w:val="none" w:sz="0" w:space="0" w:color="auto"/>
            <w:left w:val="none" w:sz="0" w:space="0" w:color="auto"/>
            <w:bottom w:val="none" w:sz="0" w:space="0" w:color="auto"/>
            <w:right w:val="none" w:sz="0" w:space="0" w:color="auto"/>
          </w:divBdr>
        </w:div>
        <w:div w:id="236979901">
          <w:marLeft w:val="1166"/>
          <w:marRight w:val="0"/>
          <w:marTop w:val="0"/>
          <w:marBottom w:val="0"/>
          <w:divBdr>
            <w:top w:val="none" w:sz="0" w:space="0" w:color="auto"/>
            <w:left w:val="none" w:sz="0" w:space="0" w:color="auto"/>
            <w:bottom w:val="none" w:sz="0" w:space="0" w:color="auto"/>
            <w:right w:val="none" w:sz="0" w:space="0" w:color="auto"/>
          </w:divBdr>
        </w:div>
        <w:div w:id="511602250">
          <w:marLeft w:val="1166"/>
          <w:marRight w:val="0"/>
          <w:marTop w:val="0"/>
          <w:marBottom w:val="0"/>
          <w:divBdr>
            <w:top w:val="none" w:sz="0" w:space="0" w:color="auto"/>
            <w:left w:val="none" w:sz="0" w:space="0" w:color="auto"/>
            <w:bottom w:val="none" w:sz="0" w:space="0" w:color="auto"/>
            <w:right w:val="none" w:sz="0" w:space="0" w:color="auto"/>
          </w:divBdr>
        </w:div>
        <w:div w:id="1202866926">
          <w:marLeft w:val="1166"/>
          <w:marRight w:val="0"/>
          <w:marTop w:val="0"/>
          <w:marBottom w:val="0"/>
          <w:divBdr>
            <w:top w:val="none" w:sz="0" w:space="0" w:color="auto"/>
            <w:left w:val="none" w:sz="0" w:space="0" w:color="auto"/>
            <w:bottom w:val="none" w:sz="0" w:space="0" w:color="auto"/>
            <w:right w:val="none" w:sz="0" w:space="0" w:color="auto"/>
          </w:divBdr>
        </w:div>
        <w:div w:id="1814829741">
          <w:marLeft w:val="1166"/>
          <w:marRight w:val="0"/>
          <w:marTop w:val="0"/>
          <w:marBottom w:val="0"/>
          <w:divBdr>
            <w:top w:val="none" w:sz="0" w:space="0" w:color="auto"/>
            <w:left w:val="none" w:sz="0" w:space="0" w:color="auto"/>
            <w:bottom w:val="none" w:sz="0" w:space="0" w:color="auto"/>
            <w:right w:val="none" w:sz="0" w:space="0" w:color="auto"/>
          </w:divBdr>
        </w:div>
      </w:divsChild>
    </w:div>
    <w:div w:id="1060983756">
      <w:bodyDiv w:val="1"/>
      <w:marLeft w:val="0"/>
      <w:marRight w:val="0"/>
      <w:marTop w:val="0"/>
      <w:marBottom w:val="0"/>
      <w:divBdr>
        <w:top w:val="none" w:sz="0" w:space="0" w:color="auto"/>
        <w:left w:val="none" w:sz="0" w:space="0" w:color="auto"/>
        <w:bottom w:val="none" w:sz="0" w:space="0" w:color="auto"/>
        <w:right w:val="none" w:sz="0" w:space="0" w:color="auto"/>
      </w:divBdr>
    </w:div>
    <w:div w:id="1085609666">
      <w:bodyDiv w:val="1"/>
      <w:marLeft w:val="0"/>
      <w:marRight w:val="0"/>
      <w:marTop w:val="0"/>
      <w:marBottom w:val="0"/>
      <w:divBdr>
        <w:top w:val="none" w:sz="0" w:space="0" w:color="auto"/>
        <w:left w:val="none" w:sz="0" w:space="0" w:color="auto"/>
        <w:bottom w:val="none" w:sz="0" w:space="0" w:color="auto"/>
        <w:right w:val="none" w:sz="0" w:space="0" w:color="auto"/>
      </w:divBdr>
    </w:div>
    <w:div w:id="1105344652">
      <w:bodyDiv w:val="1"/>
      <w:marLeft w:val="0"/>
      <w:marRight w:val="0"/>
      <w:marTop w:val="0"/>
      <w:marBottom w:val="0"/>
      <w:divBdr>
        <w:top w:val="none" w:sz="0" w:space="0" w:color="auto"/>
        <w:left w:val="none" w:sz="0" w:space="0" w:color="auto"/>
        <w:bottom w:val="none" w:sz="0" w:space="0" w:color="auto"/>
        <w:right w:val="none" w:sz="0" w:space="0" w:color="auto"/>
      </w:divBdr>
    </w:div>
    <w:div w:id="1114210256">
      <w:bodyDiv w:val="1"/>
      <w:marLeft w:val="0"/>
      <w:marRight w:val="0"/>
      <w:marTop w:val="0"/>
      <w:marBottom w:val="0"/>
      <w:divBdr>
        <w:top w:val="none" w:sz="0" w:space="0" w:color="auto"/>
        <w:left w:val="none" w:sz="0" w:space="0" w:color="auto"/>
        <w:bottom w:val="none" w:sz="0" w:space="0" w:color="auto"/>
        <w:right w:val="none" w:sz="0" w:space="0" w:color="auto"/>
      </w:divBdr>
    </w:div>
    <w:div w:id="1186596355">
      <w:bodyDiv w:val="1"/>
      <w:marLeft w:val="0"/>
      <w:marRight w:val="0"/>
      <w:marTop w:val="0"/>
      <w:marBottom w:val="0"/>
      <w:divBdr>
        <w:top w:val="none" w:sz="0" w:space="0" w:color="auto"/>
        <w:left w:val="none" w:sz="0" w:space="0" w:color="auto"/>
        <w:bottom w:val="none" w:sz="0" w:space="0" w:color="auto"/>
        <w:right w:val="none" w:sz="0" w:space="0" w:color="auto"/>
      </w:divBdr>
    </w:div>
    <w:div w:id="1191069641">
      <w:bodyDiv w:val="1"/>
      <w:marLeft w:val="0"/>
      <w:marRight w:val="0"/>
      <w:marTop w:val="0"/>
      <w:marBottom w:val="0"/>
      <w:divBdr>
        <w:top w:val="none" w:sz="0" w:space="0" w:color="auto"/>
        <w:left w:val="none" w:sz="0" w:space="0" w:color="auto"/>
        <w:bottom w:val="none" w:sz="0" w:space="0" w:color="auto"/>
        <w:right w:val="none" w:sz="0" w:space="0" w:color="auto"/>
      </w:divBdr>
    </w:div>
    <w:div w:id="1197350209">
      <w:bodyDiv w:val="1"/>
      <w:marLeft w:val="0"/>
      <w:marRight w:val="0"/>
      <w:marTop w:val="0"/>
      <w:marBottom w:val="0"/>
      <w:divBdr>
        <w:top w:val="none" w:sz="0" w:space="0" w:color="auto"/>
        <w:left w:val="none" w:sz="0" w:space="0" w:color="auto"/>
        <w:bottom w:val="none" w:sz="0" w:space="0" w:color="auto"/>
        <w:right w:val="none" w:sz="0" w:space="0" w:color="auto"/>
      </w:divBdr>
    </w:div>
    <w:div w:id="1203862374">
      <w:bodyDiv w:val="1"/>
      <w:marLeft w:val="0"/>
      <w:marRight w:val="0"/>
      <w:marTop w:val="0"/>
      <w:marBottom w:val="0"/>
      <w:divBdr>
        <w:top w:val="none" w:sz="0" w:space="0" w:color="auto"/>
        <w:left w:val="none" w:sz="0" w:space="0" w:color="auto"/>
        <w:bottom w:val="none" w:sz="0" w:space="0" w:color="auto"/>
        <w:right w:val="none" w:sz="0" w:space="0" w:color="auto"/>
      </w:divBdr>
    </w:div>
    <w:div w:id="1238973330">
      <w:bodyDiv w:val="1"/>
      <w:marLeft w:val="0"/>
      <w:marRight w:val="0"/>
      <w:marTop w:val="0"/>
      <w:marBottom w:val="0"/>
      <w:divBdr>
        <w:top w:val="none" w:sz="0" w:space="0" w:color="auto"/>
        <w:left w:val="none" w:sz="0" w:space="0" w:color="auto"/>
        <w:bottom w:val="none" w:sz="0" w:space="0" w:color="auto"/>
        <w:right w:val="none" w:sz="0" w:space="0" w:color="auto"/>
      </w:divBdr>
    </w:div>
    <w:div w:id="1241062614">
      <w:bodyDiv w:val="1"/>
      <w:marLeft w:val="0"/>
      <w:marRight w:val="0"/>
      <w:marTop w:val="0"/>
      <w:marBottom w:val="0"/>
      <w:divBdr>
        <w:top w:val="none" w:sz="0" w:space="0" w:color="auto"/>
        <w:left w:val="none" w:sz="0" w:space="0" w:color="auto"/>
        <w:bottom w:val="none" w:sz="0" w:space="0" w:color="auto"/>
        <w:right w:val="none" w:sz="0" w:space="0" w:color="auto"/>
      </w:divBdr>
    </w:div>
    <w:div w:id="1255937326">
      <w:bodyDiv w:val="1"/>
      <w:marLeft w:val="0"/>
      <w:marRight w:val="0"/>
      <w:marTop w:val="0"/>
      <w:marBottom w:val="0"/>
      <w:divBdr>
        <w:top w:val="none" w:sz="0" w:space="0" w:color="auto"/>
        <w:left w:val="none" w:sz="0" w:space="0" w:color="auto"/>
        <w:bottom w:val="none" w:sz="0" w:space="0" w:color="auto"/>
        <w:right w:val="none" w:sz="0" w:space="0" w:color="auto"/>
      </w:divBdr>
    </w:div>
    <w:div w:id="1258099955">
      <w:bodyDiv w:val="1"/>
      <w:marLeft w:val="0"/>
      <w:marRight w:val="0"/>
      <w:marTop w:val="0"/>
      <w:marBottom w:val="0"/>
      <w:divBdr>
        <w:top w:val="none" w:sz="0" w:space="0" w:color="auto"/>
        <w:left w:val="none" w:sz="0" w:space="0" w:color="auto"/>
        <w:bottom w:val="none" w:sz="0" w:space="0" w:color="auto"/>
        <w:right w:val="none" w:sz="0" w:space="0" w:color="auto"/>
      </w:divBdr>
    </w:div>
    <w:div w:id="1262378972">
      <w:bodyDiv w:val="1"/>
      <w:marLeft w:val="0"/>
      <w:marRight w:val="0"/>
      <w:marTop w:val="0"/>
      <w:marBottom w:val="0"/>
      <w:divBdr>
        <w:top w:val="none" w:sz="0" w:space="0" w:color="auto"/>
        <w:left w:val="none" w:sz="0" w:space="0" w:color="auto"/>
        <w:bottom w:val="none" w:sz="0" w:space="0" w:color="auto"/>
        <w:right w:val="none" w:sz="0" w:space="0" w:color="auto"/>
      </w:divBdr>
    </w:div>
    <w:div w:id="1266113065">
      <w:bodyDiv w:val="1"/>
      <w:marLeft w:val="0"/>
      <w:marRight w:val="0"/>
      <w:marTop w:val="0"/>
      <w:marBottom w:val="0"/>
      <w:divBdr>
        <w:top w:val="none" w:sz="0" w:space="0" w:color="auto"/>
        <w:left w:val="none" w:sz="0" w:space="0" w:color="auto"/>
        <w:bottom w:val="none" w:sz="0" w:space="0" w:color="auto"/>
        <w:right w:val="none" w:sz="0" w:space="0" w:color="auto"/>
      </w:divBdr>
    </w:div>
    <w:div w:id="1267929078">
      <w:bodyDiv w:val="1"/>
      <w:marLeft w:val="0"/>
      <w:marRight w:val="0"/>
      <w:marTop w:val="0"/>
      <w:marBottom w:val="0"/>
      <w:divBdr>
        <w:top w:val="none" w:sz="0" w:space="0" w:color="auto"/>
        <w:left w:val="none" w:sz="0" w:space="0" w:color="auto"/>
        <w:bottom w:val="none" w:sz="0" w:space="0" w:color="auto"/>
        <w:right w:val="none" w:sz="0" w:space="0" w:color="auto"/>
      </w:divBdr>
    </w:div>
    <w:div w:id="1274173849">
      <w:bodyDiv w:val="1"/>
      <w:marLeft w:val="0"/>
      <w:marRight w:val="0"/>
      <w:marTop w:val="0"/>
      <w:marBottom w:val="0"/>
      <w:divBdr>
        <w:top w:val="none" w:sz="0" w:space="0" w:color="auto"/>
        <w:left w:val="none" w:sz="0" w:space="0" w:color="auto"/>
        <w:bottom w:val="none" w:sz="0" w:space="0" w:color="auto"/>
        <w:right w:val="none" w:sz="0" w:space="0" w:color="auto"/>
      </w:divBdr>
    </w:div>
    <w:div w:id="1290895219">
      <w:bodyDiv w:val="1"/>
      <w:marLeft w:val="0"/>
      <w:marRight w:val="0"/>
      <w:marTop w:val="0"/>
      <w:marBottom w:val="0"/>
      <w:divBdr>
        <w:top w:val="none" w:sz="0" w:space="0" w:color="auto"/>
        <w:left w:val="none" w:sz="0" w:space="0" w:color="auto"/>
        <w:bottom w:val="none" w:sz="0" w:space="0" w:color="auto"/>
        <w:right w:val="none" w:sz="0" w:space="0" w:color="auto"/>
      </w:divBdr>
    </w:div>
    <w:div w:id="1303583411">
      <w:bodyDiv w:val="1"/>
      <w:marLeft w:val="0"/>
      <w:marRight w:val="0"/>
      <w:marTop w:val="0"/>
      <w:marBottom w:val="0"/>
      <w:divBdr>
        <w:top w:val="none" w:sz="0" w:space="0" w:color="auto"/>
        <w:left w:val="none" w:sz="0" w:space="0" w:color="auto"/>
        <w:bottom w:val="none" w:sz="0" w:space="0" w:color="auto"/>
        <w:right w:val="none" w:sz="0" w:space="0" w:color="auto"/>
      </w:divBdr>
    </w:div>
    <w:div w:id="1313607373">
      <w:bodyDiv w:val="1"/>
      <w:marLeft w:val="0"/>
      <w:marRight w:val="0"/>
      <w:marTop w:val="0"/>
      <w:marBottom w:val="0"/>
      <w:divBdr>
        <w:top w:val="none" w:sz="0" w:space="0" w:color="auto"/>
        <w:left w:val="none" w:sz="0" w:space="0" w:color="auto"/>
        <w:bottom w:val="none" w:sz="0" w:space="0" w:color="auto"/>
        <w:right w:val="none" w:sz="0" w:space="0" w:color="auto"/>
      </w:divBdr>
    </w:div>
    <w:div w:id="1330475093">
      <w:bodyDiv w:val="1"/>
      <w:marLeft w:val="0"/>
      <w:marRight w:val="0"/>
      <w:marTop w:val="0"/>
      <w:marBottom w:val="0"/>
      <w:divBdr>
        <w:top w:val="none" w:sz="0" w:space="0" w:color="auto"/>
        <w:left w:val="none" w:sz="0" w:space="0" w:color="auto"/>
        <w:bottom w:val="none" w:sz="0" w:space="0" w:color="auto"/>
        <w:right w:val="none" w:sz="0" w:space="0" w:color="auto"/>
      </w:divBdr>
    </w:div>
    <w:div w:id="1331104201">
      <w:bodyDiv w:val="1"/>
      <w:marLeft w:val="0"/>
      <w:marRight w:val="0"/>
      <w:marTop w:val="0"/>
      <w:marBottom w:val="0"/>
      <w:divBdr>
        <w:top w:val="none" w:sz="0" w:space="0" w:color="auto"/>
        <w:left w:val="none" w:sz="0" w:space="0" w:color="auto"/>
        <w:bottom w:val="none" w:sz="0" w:space="0" w:color="auto"/>
        <w:right w:val="none" w:sz="0" w:space="0" w:color="auto"/>
      </w:divBdr>
    </w:div>
    <w:div w:id="1349409922">
      <w:bodyDiv w:val="1"/>
      <w:marLeft w:val="0"/>
      <w:marRight w:val="0"/>
      <w:marTop w:val="0"/>
      <w:marBottom w:val="0"/>
      <w:divBdr>
        <w:top w:val="none" w:sz="0" w:space="0" w:color="auto"/>
        <w:left w:val="none" w:sz="0" w:space="0" w:color="auto"/>
        <w:bottom w:val="none" w:sz="0" w:space="0" w:color="auto"/>
        <w:right w:val="none" w:sz="0" w:space="0" w:color="auto"/>
      </w:divBdr>
    </w:div>
    <w:div w:id="1353457548">
      <w:bodyDiv w:val="1"/>
      <w:marLeft w:val="0"/>
      <w:marRight w:val="0"/>
      <w:marTop w:val="0"/>
      <w:marBottom w:val="0"/>
      <w:divBdr>
        <w:top w:val="none" w:sz="0" w:space="0" w:color="auto"/>
        <w:left w:val="none" w:sz="0" w:space="0" w:color="auto"/>
        <w:bottom w:val="none" w:sz="0" w:space="0" w:color="auto"/>
        <w:right w:val="none" w:sz="0" w:space="0" w:color="auto"/>
      </w:divBdr>
    </w:div>
    <w:div w:id="1364330437">
      <w:bodyDiv w:val="1"/>
      <w:marLeft w:val="0"/>
      <w:marRight w:val="0"/>
      <w:marTop w:val="0"/>
      <w:marBottom w:val="0"/>
      <w:divBdr>
        <w:top w:val="none" w:sz="0" w:space="0" w:color="auto"/>
        <w:left w:val="none" w:sz="0" w:space="0" w:color="auto"/>
        <w:bottom w:val="none" w:sz="0" w:space="0" w:color="auto"/>
        <w:right w:val="none" w:sz="0" w:space="0" w:color="auto"/>
      </w:divBdr>
    </w:div>
    <w:div w:id="1391610334">
      <w:bodyDiv w:val="1"/>
      <w:marLeft w:val="0"/>
      <w:marRight w:val="0"/>
      <w:marTop w:val="0"/>
      <w:marBottom w:val="0"/>
      <w:divBdr>
        <w:top w:val="none" w:sz="0" w:space="0" w:color="auto"/>
        <w:left w:val="none" w:sz="0" w:space="0" w:color="auto"/>
        <w:bottom w:val="none" w:sz="0" w:space="0" w:color="auto"/>
        <w:right w:val="none" w:sz="0" w:space="0" w:color="auto"/>
      </w:divBdr>
    </w:div>
    <w:div w:id="1403942460">
      <w:bodyDiv w:val="1"/>
      <w:marLeft w:val="0"/>
      <w:marRight w:val="0"/>
      <w:marTop w:val="0"/>
      <w:marBottom w:val="0"/>
      <w:divBdr>
        <w:top w:val="none" w:sz="0" w:space="0" w:color="auto"/>
        <w:left w:val="none" w:sz="0" w:space="0" w:color="auto"/>
        <w:bottom w:val="none" w:sz="0" w:space="0" w:color="auto"/>
        <w:right w:val="none" w:sz="0" w:space="0" w:color="auto"/>
      </w:divBdr>
    </w:div>
    <w:div w:id="1412194183">
      <w:bodyDiv w:val="1"/>
      <w:marLeft w:val="0"/>
      <w:marRight w:val="0"/>
      <w:marTop w:val="0"/>
      <w:marBottom w:val="0"/>
      <w:divBdr>
        <w:top w:val="none" w:sz="0" w:space="0" w:color="auto"/>
        <w:left w:val="none" w:sz="0" w:space="0" w:color="auto"/>
        <w:bottom w:val="none" w:sz="0" w:space="0" w:color="auto"/>
        <w:right w:val="none" w:sz="0" w:space="0" w:color="auto"/>
      </w:divBdr>
    </w:div>
    <w:div w:id="1432705863">
      <w:bodyDiv w:val="1"/>
      <w:marLeft w:val="0"/>
      <w:marRight w:val="0"/>
      <w:marTop w:val="0"/>
      <w:marBottom w:val="0"/>
      <w:divBdr>
        <w:top w:val="none" w:sz="0" w:space="0" w:color="auto"/>
        <w:left w:val="none" w:sz="0" w:space="0" w:color="auto"/>
        <w:bottom w:val="none" w:sz="0" w:space="0" w:color="auto"/>
        <w:right w:val="none" w:sz="0" w:space="0" w:color="auto"/>
      </w:divBdr>
    </w:div>
    <w:div w:id="1443186053">
      <w:bodyDiv w:val="1"/>
      <w:marLeft w:val="0"/>
      <w:marRight w:val="0"/>
      <w:marTop w:val="0"/>
      <w:marBottom w:val="0"/>
      <w:divBdr>
        <w:top w:val="none" w:sz="0" w:space="0" w:color="auto"/>
        <w:left w:val="none" w:sz="0" w:space="0" w:color="auto"/>
        <w:bottom w:val="none" w:sz="0" w:space="0" w:color="auto"/>
        <w:right w:val="none" w:sz="0" w:space="0" w:color="auto"/>
      </w:divBdr>
    </w:div>
    <w:div w:id="1457527041">
      <w:bodyDiv w:val="1"/>
      <w:marLeft w:val="0"/>
      <w:marRight w:val="0"/>
      <w:marTop w:val="0"/>
      <w:marBottom w:val="0"/>
      <w:divBdr>
        <w:top w:val="none" w:sz="0" w:space="0" w:color="auto"/>
        <w:left w:val="none" w:sz="0" w:space="0" w:color="auto"/>
        <w:bottom w:val="none" w:sz="0" w:space="0" w:color="auto"/>
        <w:right w:val="none" w:sz="0" w:space="0" w:color="auto"/>
      </w:divBdr>
    </w:div>
    <w:div w:id="1459952815">
      <w:bodyDiv w:val="1"/>
      <w:marLeft w:val="0"/>
      <w:marRight w:val="0"/>
      <w:marTop w:val="0"/>
      <w:marBottom w:val="0"/>
      <w:divBdr>
        <w:top w:val="none" w:sz="0" w:space="0" w:color="auto"/>
        <w:left w:val="none" w:sz="0" w:space="0" w:color="auto"/>
        <w:bottom w:val="none" w:sz="0" w:space="0" w:color="auto"/>
        <w:right w:val="none" w:sz="0" w:space="0" w:color="auto"/>
      </w:divBdr>
    </w:div>
    <w:div w:id="1465388526">
      <w:bodyDiv w:val="1"/>
      <w:marLeft w:val="0"/>
      <w:marRight w:val="0"/>
      <w:marTop w:val="0"/>
      <w:marBottom w:val="0"/>
      <w:divBdr>
        <w:top w:val="none" w:sz="0" w:space="0" w:color="auto"/>
        <w:left w:val="none" w:sz="0" w:space="0" w:color="auto"/>
        <w:bottom w:val="none" w:sz="0" w:space="0" w:color="auto"/>
        <w:right w:val="none" w:sz="0" w:space="0" w:color="auto"/>
      </w:divBdr>
    </w:div>
    <w:div w:id="1508669669">
      <w:bodyDiv w:val="1"/>
      <w:marLeft w:val="0"/>
      <w:marRight w:val="0"/>
      <w:marTop w:val="0"/>
      <w:marBottom w:val="0"/>
      <w:divBdr>
        <w:top w:val="none" w:sz="0" w:space="0" w:color="auto"/>
        <w:left w:val="none" w:sz="0" w:space="0" w:color="auto"/>
        <w:bottom w:val="none" w:sz="0" w:space="0" w:color="auto"/>
        <w:right w:val="none" w:sz="0" w:space="0" w:color="auto"/>
      </w:divBdr>
    </w:div>
    <w:div w:id="1515071621">
      <w:bodyDiv w:val="1"/>
      <w:marLeft w:val="0"/>
      <w:marRight w:val="0"/>
      <w:marTop w:val="0"/>
      <w:marBottom w:val="0"/>
      <w:divBdr>
        <w:top w:val="none" w:sz="0" w:space="0" w:color="auto"/>
        <w:left w:val="none" w:sz="0" w:space="0" w:color="auto"/>
        <w:bottom w:val="none" w:sz="0" w:space="0" w:color="auto"/>
        <w:right w:val="none" w:sz="0" w:space="0" w:color="auto"/>
      </w:divBdr>
    </w:div>
    <w:div w:id="1540166512">
      <w:bodyDiv w:val="1"/>
      <w:marLeft w:val="0"/>
      <w:marRight w:val="0"/>
      <w:marTop w:val="0"/>
      <w:marBottom w:val="0"/>
      <w:divBdr>
        <w:top w:val="none" w:sz="0" w:space="0" w:color="auto"/>
        <w:left w:val="none" w:sz="0" w:space="0" w:color="auto"/>
        <w:bottom w:val="none" w:sz="0" w:space="0" w:color="auto"/>
        <w:right w:val="none" w:sz="0" w:space="0" w:color="auto"/>
      </w:divBdr>
    </w:div>
    <w:div w:id="1546142834">
      <w:bodyDiv w:val="1"/>
      <w:marLeft w:val="0"/>
      <w:marRight w:val="0"/>
      <w:marTop w:val="0"/>
      <w:marBottom w:val="0"/>
      <w:divBdr>
        <w:top w:val="none" w:sz="0" w:space="0" w:color="auto"/>
        <w:left w:val="none" w:sz="0" w:space="0" w:color="auto"/>
        <w:bottom w:val="none" w:sz="0" w:space="0" w:color="auto"/>
        <w:right w:val="none" w:sz="0" w:space="0" w:color="auto"/>
      </w:divBdr>
    </w:div>
    <w:div w:id="1546602840">
      <w:bodyDiv w:val="1"/>
      <w:marLeft w:val="0"/>
      <w:marRight w:val="0"/>
      <w:marTop w:val="0"/>
      <w:marBottom w:val="0"/>
      <w:divBdr>
        <w:top w:val="none" w:sz="0" w:space="0" w:color="auto"/>
        <w:left w:val="none" w:sz="0" w:space="0" w:color="auto"/>
        <w:bottom w:val="none" w:sz="0" w:space="0" w:color="auto"/>
        <w:right w:val="none" w:sz="0" w:space="0" w:color="auto"/>
      </w:divBdr>
    </w:div>
    <w:div w:id="1549685935">
      <w:bodyDiv w:val="1"/>
      <w:marLeft w:val="0"/>
      <w:marRight w:val="0"/>
      <w:marTop w:val="0"/>
      <w:marBottom w:val="0"/>
      <w:divBdr>
        <w:top w:val="none" w:sz="0" w:space="0" w:color="auto"/>
        <w:left w:val="none" w:sz="0" w:space="0" w:color="auto"/>
        <w:bottom w:val="none" w:sz="0" w:space="0" w:color="auto"/>
        <w:right w:val="none" w:sz="0" w:space="0" w:color="auto"/>
      </w:divBdr>
    </w:div>
    <w:div w:id="1555583581">
      <w:bodyDiv w:val="1"/>
      <w:marLeft w:val="0"/>
      <w:marRight w:val="0"/>
      <w:marTop w:val="0"/>
      <w:marBottom w:val="0"/>
      <w:divBdr>
        <w:top w:val="none" w:sz="0" w:space="0" w:color="auto"/>
        <w:left w:val="none" w:sz="0" w:space="0" w:color="auto"/>
        <w:bottom w:val="none" w:sz="0" w:space="0" w:color="auto"/>
        <w:right w:val="none" w:sz="0" w:space="0" w:color="auto"/>
      </w:divBdr>
    </w:div>
    <w:div w:id="1570844947">
      <w:bodyDiv w:val="1"/>
      <w:marLeft w:val="0"/>
      <w:marRight w:val="0"/>
      <w:marTop w:val="0"/>
      <w:marBottom w:val="0"/>
      <w:divBdr>
        <w:top w:val="none" w:sz="0" w:space="0" w:color="auto"/>
        <w:left w:val="none" w:sz="0" w:space="0" w:color="auto"/>
        <w:bottom w:val="none" w:sz="0" w:space="0" w:color="auto"/>
        <w:right w:val="none" w:sz="0" w:space="0" w:color="auto"/>
      </w:divBdr>
    </w:div>
    <w:div w:id="1603536165">
      <w:bodyDiv w:val="1"/>
      <w:marLeft w:val="0"/>
      <w:marRight w:val="0"/>
      <w:marTop w:val="0"/>
      <w:marBottom w:val="0"/>
      <w:divBdr>
        <w:top w:val="none" w:sz="0" w:space="0" w:color="auto"/>
        <w:left w:val="none" w:sz="0" w:space="0" w:color="auto"/>
        <w:bottom w:val="none" w:sz="0" w:space="0" w:color="auto"/>
        <w:right w:val="none" w:sz="0" w:space="0" w:color="auto"/>
      </w:divBdr>
    </w:div>
    <w:div w:id="1612934365">
      <w:bodyDiv w:val="1"/>
      <w:marLeft w:val="0"/>
      <w:marRight w:val="0"/>
      <w:marTop w:val="0"/>
      <w:marBottom w:val="0"/>
      <w:divBdr>
        <w:top w:val="none" w:sz="0" w:space="0" w:color="auto"/>
        <w:left w:val="none" w:sz="0" w:space="0" w:color="auto"/>
        <w:bottom w:val="none" w:sz="0" w:space="0" w:color="auto"/>
        <w:right w:val="none" w:sz="0" w:space="0" w:color="auto"/>
      </w:divBdr>
    </w:div>
    <w:div w:id="1614704241">
      <w:bodyDiv w:val="1"/>
      <w:marLeft w:val="0"/>
      <w:marRight w:val="0"/>
      <w:marTop w:val="0"/>
      <w:marBottom w:val="0"/>
      <w:divBdr>
        <w:top w:val="none" w:sz="0" w:space="0" w:color="auto"/>
        <w:left w:val="none" w:sz="0" w:space="0" w:color="auto"/>
        <w:bottom w:val="none" w:sz="0" w:space="0" w:color="auto"/>
        <w:right w:val="none" w:sz="0" w:space="0" w:color="auto"/>
      </w:divBdr>
    </w:div>
    <w:div w:id="1649551887">
      <w:bodyDiv w:val="1"/>
      <w:marLeft w:val="0"/>
      <w:marRight w:val="0"/>
      <w:marTop w:val="0"/>
      <w:marBottom w:val="0"/>
      <w:divBdr>
        <w:top w:val="none" w:sz="0" w:space="0" w:color="auto"/>
        <w:left w:val="none" w:sz="0" w:space="0" w:color="auto"/>
        <w:bottom w:val="none" w:sz="0" w:space="0" w:color="auto"/>
        <w:right w:val="none" w:sz="0" w:space="0" w:color="auto"/>
      </w:divBdr>
    </w:div>
    <w:div w:id="1676804519">
      <w:bodyDiv w:val="1"/>
      <w:marLeft w:val="0"/>
      <w:marRight w:val="0"/>
      <w:marTop w:val="0"/>
      <w:marBottom w:val="0"/>
      <w:divBdr>
        <w:top w:val="none" w:sz="0" w:space="0" w:color="auto"/>
        <w:left w:val="none" w:sz="0" w:space="0" w:color="auto"/>
        <w:bottom w:val="none" w:sz="0" w:space="0" w:color="auto"/>
        <w:right w:val="none" w:sz="0" w:space="0" w:color="auto"/>
      </w:divBdr>
    </w:div>
    <w:div w:id="1677657643">
      <w:bodyDiv w:val="1"/>
      <w:marLeft w:val="0"/>
      <w:marRight w:val="0"/>
      <w:marTop w:val="0"/>
      <w:marBottom w:val="0"/>
      <w:divBdr>
        <w:top w:val="none" w:sz="0" w:space="0" w:color="auto"/>
        <w:left w:val="none" w:sz="0" w:space="0" w:color="auto"/>
        <w:bottom w:val="none" w:sz="0" w:space="0" w:color="auto"/>
        <w:right w:val="none" w:sz="0" w:space="0" w:color="auto"/>
      </w:divBdr>
    </w:div>
    <w:div w:id="1679192669">
      <w:bodyDiv w:val="1"/>
      <w:marLeft w:val="0"/>
      <w:marRight w:val="0"/>
      <w:marTop w:val="0"/>
      <w:marBottom w:val="0"/>
      <w:divBdr>
        <w:top w:val="none" w:sz="0" w:space="0" w:color="auto"/>
        <w:left w:val="none" w:sz="0" w:space="0" w:color="auto"/>
        <w:bottom w:val="none" w:sz="0" w:space="0" w:color="auto"/>
        <w:right w:val="none" w:sz="0" w:space="0" w:color="auto"/>
      </w:divBdr>
    </w:div>
    <w:div w:id="1683166323">
      <w:bodyDiv w:val="1"/>
      <w:marLeft w:val="0"/>
      <w:marRight w:val="0"/>
      <w:marTop w:val="0"/>
      <w:marBottom w:val="0"/>
      <w:divBdr>
        <w:top w:val="none" w:sz="0" w:space="0" w:color="auto"/>
        <w:left w:val="none" w:sz="0" w:space="0" w:color="auto"/>
        <w:bottom w:val="none" w:sz="0" w:space="0" w:color="auto"/>
        <w:right w:val="none" w:sz="0" w:space="0" w:color="auto"/>
      </w:divBdr>
    </w:div>
    <w:div w:id="1705524164">
      <w:bodyDiv w:val="1"/>
      <w:marLeft w:val="0"/>
      <w:marRight w:val="0"/>
      <w:marTop w:val="0"/>
      <w:marBottom w:val="0"/>
      <w:divBdr>
        <w:top w:val="none" w:sz="0" w:space="0" w:color="auto"/>
        <w:left w:val="none" w:sz="0" w:space="0" w:color="auto"/>
        <w:bottom w:val="none" w:sz="0" w:space="0" w:color="auto"/>
        <w:right w:val="none" w:sz="0" w:space="0" w:color="auto"/>
      </w:divBdr>
    </w:div>
    <w:div w:id="1707027458">
      <w:bodyDiv w:val="1"/>
      <w:marLeft w:val="0"/>
      <w:marRight w:val="0"/>
      <w:marTop w:val="0"/>
      <w:marBottom w:val="0"/>
      <w:divBdr>
        <w:top w:val="none" w:sz="0" w:space="0" w:color="auto"/>
        <w:left w:val="none" w:sz="0" w:space="0" w:color="auto"/>
        <w:bottom w:val="none" w:sz="0" w:space="0" w:color="auto"/>
        <w:right w:val="none" w:sz="0" w:space="0" w:color="auto"/>
      </w:divBdr>
    </w:div>
    <w:div w:id="1709257749">
      <w:bodyDiv w:val="1"/>
      <w:marLeft w:val="0"/>
      <w:marRight w:val="0"/>
      <w:marTop w:val="0"/>
      <w:marBottom w:val="0"/>
      <w:divBdr>
        <w:top w:val="none" w:sz="0" w:space="0" w:color="auto"/>
        <w:left w:val="none" w:sz="0" w:space="0" w:color="auto"/>
        <w:bottom w:val="none" w:sz="0" w:space="0" w:color="auto"/>
        <w:right w:val="none" w:sz="0" w:space="0" w:color="auto"/>
      </w:divBdr>
    </w:div>
    <w:div w:id="1720282108">
      <w:bodyDiv w:val="1"/>
      <w:marLeft w:val="0"/>
      <w:marRight w:val="0"/>
      <w:marTop w:val="0"/>
      <w:marBottom w:val="0"/>
      <w:divBdr>
        <w:top w:val="none" w:sz="0" w:space="0" w:color="auto"/>
        <w:left w:val="none" w:sz="0" w:space="0" w:color="auto"/>
        <w:bottom w:val="none" w:sz="0" w:space="0" w:color="auto"/>
        <w:right w:val="none" w:sz="0" w:space="0" w:color="auto"/>
      </w:divBdr>
    </w:div>
    <w:div w:id="1745034010">
      <w:bodyDiv w:val="1"/>
      <w:marLeft w:val="0"/>
      <w:marRight w:val="0"/>
      <w:marTop w:val="0"/>
      <w:marBottom w:val="0"/>
      <w:divBdr>
        <w:top w:val="none" w:sz="0" w:space="0" w:color="auto"/>
        <w:left w:val="none" w:sz="0" w:space="0" w:color="auto"/>
        <w:bottom w:val="none" w:sz="0" w:space="0" w:color="auto"/>
        <w:right w:val="none" w:sz="0" w:space="0" w:color="auto"/>
      </w:divBdr>
    </w:div>
    <w:div w:id="1756441165">
      <w:bodyDiv w:val="1"/>
      <w:marLeft w:val="0"/>
      <w:marRight w:val="0"/>
      <w:marTop w:val="0"/>
      <w:marBottom w:val="0"/>
      <w:divBdr>
        <w:top w:val="none" w:sz="0" w:space="0" w:color="auto"/>
        <w:left w:val="none" w:sz="0" w:space="0" w:color="auto"/>
        <w:bottom w:val="none" w:sz="0" w:space="0" w:color="auto"/>
        <w:right w:val="none" w:sz="0" w:space="0" w:color="auto"/>
      </w:divBdr>
    </w:div>
    <w:div w:id="1778984910">
      <w:bodyDiv w:val="1"/>
      <w:marLeft w:val="0"/>
      <w:marRight w:val="0"/>
      <w:marTop w:val="0"/>
      <w:marBottom w:val="0"/>
      <w:divBdr>
        <w:top w:val="none" w:sz="0" w:space="0" w:color="auto"/>
        <w:left w:val="none" w:sz="0" w:space="0" w:color="auto"/>
        <w:bottom w:val="none" w:sz="0" w:space="0" w:color="auto"/>
        <w:right w:val="none" w:sz="0" w:space="0" w:color="auto"/>
      </w:divBdr>
    </w:div>
    <w:div w:id="1789736883">
      <w:bodyDiv w:val="1"/>
      <w:marLeft w:val="0"/>
      <w:marRight w:val="0"/>
      <w:marTop w:val="0"/>
      <w:marBottom w:val="0"/>
      <w:divBdr>
        <w:top w:val="none" w:sz="0" w:space="0" w:color="auto"/>
        <w:left w:val="none" w:sz="0" w:space="0" w:color="auto"/>
        <w:bottom w:val="none" w:sz="0" w:space="0" w:color="auto"/>
        <w:right w:val="none" w:sz="0" w:space="0" w:color="auto"/>
      </w:divBdr>
    </w:div>
    <w:div w:id="1800150489">
      <w:bodyDiv w:val="1"/>
      <w:marLeft w:val="0"/>
      <w:marRight w:val="0"/>
      <w:marTop w:val="0"/>
      <w:marBottom w:val="0"/>
      <w:divBdr>
        <w:top w:val="none" w:sz="0" w:space="0" w:color="auto"/>
        <w:left w:val="none" w:sz="0" w:space="0" w:color="auto"/>
        <w:bottom w:val="none" w:sz="0" w:space="0" w:color="auto"/>
        <w:right w:val="none" w:sz="0" w:space="0" w:color="auto"/>
      </w:divBdr>
    </w:div>
    <w:div w:id="1820072362">
      <w:bodyDiv w:val="1"/>
      <w:marLeft w:val="0"/>
      <w:marRight w:val="0"/>
      <w:marTop w:val="0"/>
      <w:marBottom w:val="0"/>
      <w:divBdr>
        <w:top w:val="none" w:sz="0" w:space="0" w:color="auto"/>
        <w:left w:val="none" w:sz="0" w:space="0" w:color="auto"/>
        <w:bottom w:val="none" w:sz="0" w:space="0" w:color="auto"/>
        <w:right w:val="none" w:sz="0" w:space="0" w:color="auto"/>
      </w:divBdr>
    </w:div>
    <w:div w:id="1851263022">
      <w:bodyDiv w:val="1"/>
      <w:marLeft w:val="0"/>
      <w:marRight w:val="0"/>
      <w:marTop w:val="0"/>
      <w:marBottom w:val="0"/>
      <w:divBdr>
        <w:top w:val="none" w:sz="0" w:space="0" w:color="auto"/>
        <w:left w:val="none" w:sz="0" w:space="0" w:color="auto"/>
        <w:bottom w:val="none" w:sz="0" w:space="0" w:color="auto"/>
        <w:right w:val="none" w:sz="0" w:space="0" w:color="auto"/>
      </w:divBdr>
    </w:div>
    <w:div w:id="1856990532">
      <w:bodyDiv w:val="1"/>
      <w:marLeft w:val="0"/>
      <w:marRight w:val="0"/>
      <w:marTop w:val="0"/>
      <w:marBottom w:val="0"/>
      <w:divBdr>
        <w:top w:val="none" w:sz="0" w:space="0" w:color="auto"/>
        <w:left w:val="none" w:sz="0" w:space="0" w:color="auto"/>
        <w:bottom w:val="none" w:sz="0" w:space="0" w:color="auto"/>
        <w:right w:val="none" w:sz="0" w:space="0" w:color="auto"/>
      </w:divBdr>
    </w:div>
    <w:div w:id="1863471623">
      <w:bodyDiv w:val="1"/>
      <w:marLeft w:val="0"/>
      <w:marRight w:val="0"/>
      <w:marTop w:val="0"/>
      <w:marBottom w:val="0"/>
      <w:divBdr>
        <w:top w:val="none" w:sz="0" w:space="0" w:color="auto"/>
        <w:left w:val="none" w:sz="0" w:space="0" w:color="auto"/>
        <w:bottom w:val="none" w:sz="0" w:space="0" w:color="auto"/>
        <w:right w:val="none" w:sz="0" w:space="0" w:color="auto"/>
      </w:divBdr>
    </w:div>
    <w:div w:id="1884322546">
      <w:bodyDiv w:val="1"/>
      <w:marLeft w:val="0"/>
      <w:marRight w:val="0"/>
      <w:marTop w:val="0"/>
      <w:marBottom w:val="0"/>
      <w:divBdr>
        <w:top w:val="none" w:sz="0" w:space="0" w:color="auto"/>
        <w:left w:val="none" w:sz="0" w:space="0" w:color="auto"/>
        <w:bottom w:val="none" w:sz="0" w:space="0" w:color="auto"/>
        <w:right w:val="none" w:sz="0" w:space="0" w:color="auto"/>
      </w:divBdr>
    </w:div>
    <w:div w:id="1919245142">
      <w:bodyDiv w:val="1"/>
      <w:marLeft w:val="0"/>
      <w:marRight w:val="0"/>
      <w:marTop w:val="0"/>
      <w:marBottom w:val="0"/>
      <w:divBdr>
        <w:top w:val="none" w:sz="0" w:space="0" w:color="auto"/>
        <w:left w:val="none" w:sz="0" w:space="0" w:color="auto"/>
        <w:bottom w:val="none" w:sz="0" w:space="0" w:color="auto"/>
        <w:right w:val="none" w:sz="0" w:space="0" w:color="auto"/>
      </w:divBdr>
    </w:div>
    <w:div w:id="1921210156">
      <w:bodyDiv w:val="1"/>
      <w:marLeft w:val="0"/>
      <w:marRight w:val="0"/>
      <w:marTop w:val="0"/>
      <w:marBottom w:val="0"/>
      <w:divBdr>
        <w:top w:val="none" w:sz="0" w:space="0" w:color="auto"/>
        <w:left w:val="none" w:sz="0" w:space="0" w:color="auto"/>
        <w:bottom w:val="none" w:sz="0" w:space="0" w:color="auto"/>
        <w:right w:val="none" w:sz="0" w:space="0" w:color="auto"/>
      </w:divBdr>
    </w:div>
    <w:div w:id="1949046122">
      <w:bodyDiv w:val="1"/>
      <w:marLeft w:val="0"/>
      <w:marRight w:val="0"/>
      <w:marTop w:val="0"/>
      <w:marBottom w:val="0"/>
      <w:divBdr>
        <w:top w:val="none" w:sz="0" w:space="0" w:color="auto"/>
        <w:left w:val="none" w:sz="0" w:space="0" w:color="auto"/>
        <w:bottom w:val="none" w:sz="0" w:space="0" w:color="auto"/>
        <w:right w:val="none" w:sz="0" w:space="0" w:color="auto"/>
      </w:divBdr>
    </w:div>
    <w:div w:id="1973051360">
      <w:bodyDiv w:val="1"/>
      <w:marLeft w:val="0"/>
      <w:marRight w:val="0"/>
      <w:marTop w:val="0"/>
      <w:marBottom w:val="0"/>
      <w:divBdr>
        <w:top w:val="none" w:sz="0" w:space="0" w:color="auto"/>
        <w:left w:val="none" w:sz="0" w:space="0" w:color="auto"/>
        <w:bottom w:val="none" w:sz="0" w:space="0" w:color="auto"/>
        <w:right w:val="none" w:sz="0" w:space="0" w:color="auto"/>
      </w:divBdr>
    </w:div>
    <w:div w:id="2048598799">
      <w:bodyDiv w:val="1"/>
      <w:marLeft w:val="0"/>
      <w:marRight w:val="0"/>
      <w:marTop w:val="0"/>
      <w:marBottom w:val="0"/>
      <w:divBdr>
        <w:top w:val="none" w:sz="0" w:space="0" w:color="auto"/>
        <w:left w:val="none" w:sz="0" w:space="0" w:color="auto"/>
        <w:bottom w:val="none" w:sz="0" w:space="0" w:color="auto"/>
        <w:right w:val="none" w:sz="0" w:space="0" w:color="auto"/>
      </w:divBdr>
    </w:div>
    <w:div w:id="2108259673">
      <w:bodyDiv w:val="1"/>
      <w:marLeft w:val="0"/>
      <w:marRight w:val="0"/>
      <w:marTop w:val="0"/>
      <w:marBottom w:val="0"/>
      <w:divBdr>
        <w:top w:val="none" w:sz="0" w:space="0" w:color="auto"/>
        <w:left w:val="none" w:sz="0" w:space="0" w:color="auto"/>
        <w:bottom w:val="none" w:sz="0" w:space="0" w:color="auto"/>
        <w:right w:val="none" w:sz="0" w:space="0" w:color="auto"/>
      </w:divBdr>
    </w:div>
    <w:div w:id="2140562965">
      <w:bodyDiv w:val="1"/>
      <w:marLeft w:val="0"/>
      <w:marRight w:val="0"/>
      <w:marTop w:val="0"/>
      <w:marBottom w:val="0"/>
      <w:divBdr>
        <w:top w:val="none" w:sz="0" w:space="0" w:color="auto"/>
        <w:left w:val="none" w:sz="0" w:space="0" w:color="auto"/>
        <w:bottom w:val="none" w:sz="0" w:space="0" w:color="auto"/>
        <w:right w:val="none" w:sz="0" w:space="0" w:color="auto"/>
      </w:divBdr>
    </w:div>
    <w:div w:id="214102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nia.araujo.689@gmail.com" TargetMode="External"/><Relationship Id="rId13" Type="http://schemas.openxmlformats.org/officeDocument/2006/relationships/chart" Target="charts/chart4.xml"/><Relationship Id="rId18" Type="http://schemas.openxmlformats.org/officeDocument/2006/relationships/hyperlink" Target="http://dialnet.unirioja.es/servlet/articulo?codigo=314370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s://www.mininterior.gov.ar/municipios/pdfs/Estructura%20Recaudacion%20Municipal.pdf" TargetMode="Externa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chart" Target="charts/chart2.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Sonia\Google%20Drive\tesis_2017\usados_2017_bases\para_ratio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onia\Google%20Drive\tesis_2017\usados_2017_bases\para_ratio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onia\Google%20Drive\tesis_2017\usados_2017_bases\para_ratio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Sonia\Google%20Drive\tesis_2017\usados_2017_bases\para_ratio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Sonia\Google%20Drive\tesis_2017\stata_cond02_200817.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graf_prom!$M$534</c:f>
              <c:strCache>
                <c:ptCount val="1"/>
                <c:pt idx="0">
                  <c:v>Por abajo del promedio</c:v>
                </c:pt>
              </c:strCache>
            </c:strRef>
          </c:tx>
          <c:spPr>
            <a:pattFill prst="dkDnDiag">
              <a:fgClr>
                <a:schemeClr val="tx1"/>
              </a:fgClr>
              <a:bgClr>
                <a:schemeClr val="bg1"/>
              </a:bgClr>
            </a:pattFill>
            <a:ln>
              <a:solidFill>
                <a:sysClr val="windowText" lastClr="000000"/>
              </a:solidFill>
            </a:ln>
            <a:effectLst/>
          </c:spPr>
          <c:invertIfNegative val="0"/>
          <c:cat>
            <c:strRef>
              <c:f>graf_prom!$A$536:$A$559</c:f>
              <c:strCache>
                <c:ptCount val="24"/>
                <c:pt idx="0">
                  <c:v>CABA</c:v>
                </c:pt>
                <c:pt idx="1">
                  <c:v>Bs As</c:v>
                </c:pt>
                <c:pt idx="2">
                  <c:v>Catam.</c:v>
                </c:pt>
                <c:pt idx="3">
                  <c:v>Cba</c:v>
                </c:pt>
                <c:pt idx="4">
                  <c:v>Corri.</c:v>
                </c:pt>
                <c:pt idx="5">
                  <c:v>Chaco</c:v>
                </c:pt>
                <c:pt idx="6">
                  <c:v>Chubut</c:v>
                </c:pt>
                <c:pt idx="7">
                  <c:v>Entre R.</c:v>
                </c:pt>
                <c:pt idx="8">
                  <c:v>Form.</c:v>
                </c:pt>
                <c:pt idx="9">
                  <c:v>Jujuy</c:v>
                </c:pt>
                <c:pt idx="10">
                  <c:v>La Pampa</c:v>
                </c:pt>
                <c:pt idx="11">
                  <c:v>La Rioja</c:v>
                </c:pt>
                <c:pt idx="12">
                  <c:v>Mza</c:v>
                </c:pt>
                <c:pt idx="13">
                  <c:v>Misio.</c:v>
                </c:pt>
                <c:pt idx="14">
                  <c:v>Neuq.</c:v>
                </c:pt>
                <c:pt idx="15">
                  <c:v>Río N.</c:v>
                </c:pt>
                <c:pt idx="16">
                  <c:v>Salta</c:v>
                </c:pt>
                <c:pt idx="17">
                  <c:v>S.J.</c:v>
                </c:pt>
                <c:pt idx="18">
                  <c:v>S. Luis</c:v>
                </c:pt>
                <c:pt idx="19">
                  <c:v>Sta. Cruz</c:v>
                </c:pt>
                <c:pt idx="20">
                  <c:v>Sta. Fe</c:v>
                </c:pt>
                <c:pt idx="21">
                  <c:v>Stgo d.E.</c:v>
                </c:pt>
                <c:pt idx="22">
                  <c:v>Tierra d.F.</c:v>
                </c:pt>
                <c:pt idx="23">
                  <c:v>Tucu.</c:v>
                </c:pt>
              </c:strCache>
            </c:strRef>
          </c:cat>
          <c:val>
            <c:numRef>
              <c:f>graf_prom!$M$536:$M$559</c:f>
              <c:numCache>
                <c:formatCode>General</c:formatCode>
                <c:ptCount val="24"/>
                <c:pt idx="0">
                  <c:v>12</c:v>
                </c:pt>
                <c:pt idx="1">
                  <c:v>13</c:v>
                </c:pt>
                <c:pt idx="2">
                  <c:v>13</c:v>
                </c:pt>
                <c:pt idx="3">
                  <c:v>11</c:v>
                </c:pt>
                <c:pt idx="4">
                  <c:v>9</c:v>
                </c:pt>
                <c:pt idx="5">
                  <c:v>11</c:v>
                </c:pt>
                <c:pt idx="6">
                  <c:v>12</c:v>
                </c:pt>
                <c:pt idx="7">
                  <c:v>14</c:v>
                </c:pt>
                <c:pt idx="8">
                  <c:v>10</c:v>
                </c:pt>
                <c:pt idx="9">
                  <c:v>10</c:v>
                </c:pt>
                <c:pt idx="10">
                  <c:v>10</c:v>
                </c:pt>
                <c:pt idx="11">
                  <c:v>11</c:v>
                </c:pt>
                <c:pt idx="12">
                  <c:v>12</c:v>
                </c:pt>
                <c:pt idx="13">
                  <c:v>10</c:v>
                </c:pt>
                <c:pt idx="14">
                  <c:v>10</c:v>
                </c:pt>
                <c:pt idx="15">
                  <c:v>10</c:v>
                </c:pt>
                <c:pt idx="16">
                  <c:v>8</c:v>
                </c:pt>
                <c:pt idx="17">
                  <c:v>7</c:v>
                </c:pt>
                <c:pt idx="18">
                  <c:v>13</c:v>
                </c:pt>
                <c:pt idx="19">
                  <c:v>9</c:v>
                </c:pt>
                <c:pt idx="20">
                  <c:v>13</c:v>
                </c:pt>
                <c:pt idx="21">
                  <c:v>14</c:v>
                </c:pt>
                <c:pt idx="22">
                  <c:v>13</c:v>
                </c:pt>
                <c:pt idx="23">
                  <c:v>10</c:v>
                </c:pt>
              </c:numCache>
            </c:numRef>
          </c:val>
        </c:ser>
        <c:ser>
          <c:idx val="1"/>
          <c:order val="1"/>
          <c:tx>
            <c:strRef>
              <c:f>graf_prom!$N$534</c:f>
              <c:strCache>
                <c:ptCount val="1"/>
                <c:pt idx="0">
                  <c:v>Por arriba del promedio</c:v>
                </c:pt>
              </c:strCache>
            </c:strRef>
          </c:tx>
          <c:spPr>
            <a:solidFill>
              <a:schemeClr val="bg1"/>
            </a:solidFill>
            <a:ln>
              <a:solidFill>
                <a:sysClr val="windowText" lastClr="00000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s-A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graf_prom!$A$536:$A$559</c:f>
              <c:strCache>
                <c:ptCount val="24"/>
                <c:pt idx="0">
                  <c:v>CABA</c:v>
                </c:pt>
                <c:pt idx="1">
                  <c:v>Bs As</c:v>
                </c:pt>
                <c:pt idx="2">
                  <c:v>Catam.</c:v>
                </c:pt>
                <c:pt idx="3">
                  <c:v>Cba</c:v>
                </c:pt>
                <c:pt idx="4">
                  <c:v>Corri.</c:v>
                </c:pt>
                <c:pt idx="5">
                  <c:v>Chaco</c:v>
                </c:pt>
                <c:pt idx="6">
                  <c:v>Chubut</c:v>
                </c:pt>
                <c:pt idx="7">
                  <c:v>Entre R.</c:v>
                </c:pt>
                <c:pt idx="8">
                  <c:v>Form.</c:v>
                </c:pt>
                <c:pt idx="9">
                  <c:v>Jujuy</c:v>
                </c:pt>
                <c:pt idx="10">
                  <c:v>La Pampa</c:v>
                </c:pt>
                <c:pt idx="11">
                  <c:v>La Rioja</c:v>
                </c:pt>
                <c:pt idx="12">
                  <c:v>Mza</c:v>
                </c:pt>
                <c:pt idx="13">
                  <c:v>Misio.</c:v>
                </c:pt>
                <c:pt idx="14">
                  <c:v>Neuq.</c:v>
                </c:pt>
                <c:pt idx="15">
                  <c:v>Río N.</c:v>
                </c:pt>
                <c:pt idx="16">
                  <c:v>Salta</c:v>
                </c:pt>
                <c:pt idx="17">
                  <c:v>S.J.</c:v>
                </c:pt>
                <c:pt idx="18">
                  <c:v>S. Luis</c:v>
                </c:pt>
                <c:pt idx="19">
                  <c:v>Sta. Cruz</c:v>
                </c:pt>
                <c:pt idx="20">
                  <c:v>Sta. Fe</c:v>
                </c:pt>
                <c:pt idx="21">
                  <c:v>Stgo d.E.</c:v>
                </c:pt>
                <c:pt idx="22">
                  <c:v>Tierra d.F.</c:v>
                </c:pt>
                <c:pt idx="23">
                  <c:v>Tucu.</c:v>
                </c:pt>
              </c:strCache>
            </c:strRef>
          </c:cat>
          <c:val>
            <c:numRef>
              <c:f>graf_prom!$N$536:$N$559</c:f>
              <c:numCache>
                <c:formatCode>General</c:formatCode>
                <c:ptCount val="24"/>
                <c:pt idx="0">
                  <c:v>10</c:v>
                </c:pt>
                <c:pt idx="1">
                  <c:v>9</c:v>
                </c:pt>
                <c:pt idx="2">
                  <c:v>9</c:v>
                </c:pt>
                <c:pt idx="3">
                  <c:v>11</c:v>
                </c:pt>
                <c:pt idx="4">
                  <c:v>13</c:v>
                </c:pt>
                <c:pt idx="5">
                  <c:v>11</c:v>
                </c:pt>
                <c:pt idx="6">
                  <c:v>10</c:v>
                </c:pt>
                <c:pt idx="7">
                  <c:v>8</c:v>
                </c:pt>
                <c:pt idx="8">
                  <c:v>12</c:v>
                </c:pt>
                <c:pt idx="9">
                  <c:v>12</c:v>
                </c:pt>
                <c:pt idx="10">
                  <c:v>12</c:v>
                </c:pt>
                <c:pt idx="11">
                  <c:v>11</c:v>
                </c:pt>
                <c:pt idx="12">
                  <c:v>10</c:v>
                </c:pt>
                <c:pt idx="13">
                  <c:v>12</c:v>
                </c:pt>
                <c:pt idx="14">
                  <c:v>12</c:v>
                </c:pt>
                <c:pt idx="15">
                  <c:v>12</c:v>
                </c:pt>
                <c:pt idx="16">
                  <c:v>14</c:v>
                </c:pt>
                <c:pt idx="17">
                  <c:v>15</c:v>
                </c:pt>
                <c:pt idx="18">
                  <c:v>9</c:v>
                </c:pt>
                <c:pt idx="19">
                  <c:v>13</c:v>
                </c:pt>
                <c:pt idx="20">
                  <c:v>9</c:v>
                </c:pt>
                <c:pt idx="21">
                  <c:v>8</c:v>
                </c:pt>
                <c:pt idx="22">
                  <c:v>9</c:v>
                </c:pt>
                <c:pt idx="23">
                  <c:v>12</c:v>
                </c:pt>
              </c:numCache>
            </c:numRef>
          </c:val>
        </c:ser>
        <c:dLbls>
          <c:showLegendKey val="0"/>
          <c:showVal val="0"/>
          <c:showCatName val="0"/>
          <c:showSerName val="0"/>
          <c:showPercent val="0"/>
          <c:showBubbleSize val="0"/>
        </c:dLbls>
        <c:gapWidth val="150"/>
        <c:overlap val="100"/>
        <c:axId val="462853968"/>
        <c:axId val="462854360"/>
      </c:barChart>
      <c:catAx>
        <c:axId val="462853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crossAx val="462854360"/>
        <c:crosses val="autoZero"/>
        <c:auto val="1"/>
        <c:lblAlgn val="ctr"/>
        <c:lblOffset val="100"/>
        <c:noMultiLvlLbl val="0"/>
      </c:catAx>
      <c:valAx>
        <c:axId val="462854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crossAx val="462853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A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graf_prom!$I$534</c:f>
              <c:strCache>
                <c:ptCount val="1"/>
                <c:pt idx="0">
                  <c:v>Por abajo del promedio</c:v>
                </c:pt>
              </c:strCache>
            </c:strRef>
          </c:tx>
          <c:spPr>
            <a:pattFill prst="dkDnDiag">
              <a:fgClr>
                <a:schemeClr val="tx1"/>
              </a:fgClr>
              <a:bgClr>
                <a:schemeClr val="bg1"/>
              </a:bgClr>
            </a:pattFill>
            <a:ln>
              <a:solidFill>
                <a:sysClr val="windowText" lastClr="000000"/>
              </a:solidFill>
            </a:ln>
            <a:effectLst/>
          </c:spPr>
          <c:invertIfNegative val="0"/>
          <c:cat>
            <c:strRef>
              <c:f>graf_prom!$A$536:$A$559</c:f>
              <c:strCache>
                <c:ptCount val="24"/>
                <c:pt idx="0">
                  <c:v>CABA</c:v>
                </c:pt>
                <c:pt idx="1">
                  <c:v>Bs As</c:v>
                </c:pt>
                <c:pt idx="2">
                  <c:v>Catam.</c:v>
                </c:pt>
                <c:pt idx="3">
                  <c:v>Cba</c:v>
                </c:pt>
                <c:pt idx="4">
                  <c:v>Corri.</c:v>
                </c:pt>
                <c:pt idx="5">
                  <c:v>Chaco</c:v>
                </c:pt>
                <c:pt idx="6">
                  <c:v>Chubut</c:v>
                </c:pt>
                <c:pt idx="7">
                  <c:v>Entre R.</c:v>
                </c:pt>
                <c:pt idx="8">
                  <c:v>Form.</c:v>
                </c:pt>
                <c:pt idx="9">
                  <c:v>Jujuy</c:v>
                </c:pt>
                <c:pt idx="10">
                  <c:v>La Pampa</c:v>
                </c:pt>
                <c:pt idx="11">
                  <c:v>La Rioja</c:v>
                </c:pt>
                <c:pt idx="12">
                  <c:v>Mza</c:v>
                </c:pt>
                <c:pt idx="13">
                  <c:v>Misio.</c:v>
                </c:pt>
                <c:pt idx="14">
                  <c:v>Neuq.</c:v>
                </c:pt>
                <c:pt idx="15">
                  <c:v>Río N.</c:v>
                </c:pt>
                <c:pt idx="16">
                  <c:v>Salta</c:v>
                </c:pt>
                <c:pt idx="17">
                  <c:v>S.J.</c:v>
                </c:pt>
                <c:pt idx="18">
                  <c:v>S. Luis</c:v>
                </c:pt>
                <c:pt idx="19">
                  <c:v>Sta. Cruz</c:v>
                </c:pt>
                <c:pt idx="20">
                  <c:v>Sta. Fe</c:v>
                </c:pt>
                <c:pt idx="21">
                  <c:v>Stgo d.E.</c:v>
                </c:pt>
                <c:pt idx="22">
                  <c:v>Tierra d.F.</c:v>
                </c:pt>
                <c:pt idx="23">
                  <c:v>Tucu.</c:v>
                </c:pt>
              </c:strCache>
            </c:strRef>
          </c:cat>
          <c:val>
            <c:numRef>
              <c:f>graf_prom!$I$536:$I$559</c:f>
              <c:numCache>
                <c:formatCode>General</c:formatCode>
                <c:ptCount val="24"/>
                <c:pt idx="0">
                  <c:v>14</c:v>
                </c:pt>
                <c:pt idx="1">
                  <c:v>13</c:v>
                </c:pt>
                <c:pt idx="2">
                  <c:v>9</c:v>
                </c:pt>
                <c:pt idx="3">
                  <c:v>10</c:v>
                </c:pt>
                <c:pt idx="4">
                  <c:v>13</c:v>
                </c:pt>
                <c:pt idx="5">
                  <c:v>10</c:v>
                </c:pt>
                <c:pt idx="6">
                  <c:v>9</c:v>
                </c:pt>
                <c:pt idx="7">
                  <c:v>12</c:v>
                </c:pt>
                <c:pt idx="8">
                  <c:v>9</c:v>
                </c:pt>
                <c:pt idx="9">
                  <c:v>13</c:v>
                </c:pt>
                <c:pt idx="10">
                  <c:v>10</c:v>
                </c:pt>
                <c:pt idx="11">
                  <c:v>13</c:v>
                </c:pt>
                <c:pt idx="12">
                  <c:v>14</c:v>
                </c:pt>
                <c:pt idx="13">
                  <c:v>13</c:v>
                </c:pt>
                <c:pt idx="14">
                  <c:v>8</c:v>
                </c:pt>
                <c:pt idx="15">
                  <c:v>13</c:v>
                </c:pt>
                <c:pt idx="16">
                  <c:v>12</c:v>
                </c:pt>
                <c:pt idx="17">
                  <c:v>13</c:v>
                </c:pt>
                <c:pt idx="18">
                  <c:v>15</c:v>
                </c:pt>
                <c:pt idx="19">
                  <c:v>9</c:v>
                </c:pt>
                <c:pt idx="20">
                  <c:v>10</c:v>
                </c:pt>
                <c:pt idx="21">
                  <c:v>13</c:v>
                </c:pt>
                <c:pt idx="22">
                  <c:v>12</c:v>
                </c:pt>
                <c:pt idx="23">
                  <c:v>13</c:v>
                </c:pt>
              </c:numCache>
            </c:numRef>
          </c:val>
        </c:ser>
        <c:ser>
          <c:idx val="1"/>
          <c:order val="1"/>
          <c:tx>
            <c:strRef>
              <c:f>graf_prom!$J$534</c:f>
              <c:strCache>
                <c:ptCount val="1"/>
                <c:pt idx="0">
                  <c:v>Por arriba del promedio</c:v>
                </c:pt>
              </c:strCache>
            </c:strRef>
          </c:tx>
          <c:spPr>
            <a:solidFill>
              <a:schemeClr val="bg1"/>
            </a:solidFill>
            <a:ln>
              <a:solidFill>
                <a:sysClr val="windowText" lastClr="00000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s-A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graf_prom!$A$536:$A$559</c:f>
              <c:strCache>
                <c:ptCount val="24"/>
                <c:pt idx="0">
                  <c:v>CABA</c:v>
                </c:pt>
                <c:pt idx="1">
                  <c:v>Bs As</c:v>
                </c:pt>
                <c:pt idx="2">
                  <c:v>Catam.</c:v>
                </c:pt>
                <c:pt idx="3">
                  <c:v>Cba</c:v>
                </c:pt>
                <c:pt idx="4">
                  <c:v>Corri.</c:v>
                </c:pt>
                <c:pt idx="5">
                  <c:v>Chaco</c:v>
                </c:pt>
                <c:pt idx="6">
                  <c:v>Chubut</c:v>
                </c:pt>
                <c:pt idx="7">
                  <c:v>Entre R.</c:v>
                </c:pt>
                <c:pt idx="8">
                  <c:v>Form.</c:v>
                </c:pt>
                <c:pt idx="9">
                  <c:v>Jujuy</c:v>
                </c:pt>
                <c:pt idx="10">
                  <c:v>La Pampa</c:v>
                </c:pt>
                <c:pt idx="11">
                  <c:v>La Rioja</c:v>
                </c:pt>
                <c:pt idx="12">
                  <c:v>Mza</c:v>
                </c:pt>
                <c:pt idx="13">
                  <c:v>Misio.</c:v>
                </c:pt>
                <c:pt idx="14">
                  <c:v>Neuq.</c:v>
                </c:pt>
                <c:pt idx="15">
                  <c:v>Río N.</c:v>
                </c:pt>
                <c:pt idx="16">
                  <c:v>Salta</c:v>
                </c:pt>
                <c:pt idx="17">
                  <c:v>S.J.</c:v>
                </c:pt>
                <c:pt idx="18">
                  <c:v>S. Luis</c:v>
                </c:pt>
                <c:pt idx="19">
                  <c:v>Sta. Cruz</c:v>
                </c:pt>
                <c:pt idx="20">
                  <c:v>Sta. Fe</c:v>
                </c:pt>
                <c:pt idx="21">
                  <c:v>Stgo d.E.</c:v>
                </c:pt>
                <c:pt idx="22">
                  <c:v>Tierra d.F.</c:v>
                </c:pt>
                <c:pt idx="23">
                  <c:v>Tucu.</c:v>
                </c:pt>
              </c:strCache>
            </c:strRef>
          </c:cat>
          <c:val>
            <c:numRef>
              <c:f>graf_prom!$J$536:$J$559</c:f>
              <c:numCache>
                <c:formatCode>General</c:formatCode>
                <c:ptCount val="24"/>
                <c:pt idx="0">
                  <c:v>8</c:v>
                </c:pt>
                <c:pt idx="1">
                  <c:v>9</c:v>
                </c:pt>
                <c:pt idx="2">
                  <c:v>13</c:v>
                </c:pt>
                <c:pt idx="3">
                  <c:v>12</c:v>
                </c:pt>
                <c:pt idx="4">
                  <c:v>9</c:v>
                </c:pt>
                <c:pt idx="5">
                  <c:v>12</c:v>
                </c:pt>
                <c:pt idx="6">
                  <c:v>13</c:v>
                </c:pt>
                <c:pt idx="7">
                  <c:v>10</c:v>
                </c:pt>
                <c:pt idx="8">
                  <c:v>13</c:v>
                </c:pt>
                <c:pt idx="9">
                  <c:v>9</c:v>
                </c:pt>
                <c:pt idx="10">
                  <c:v>12</c:v>
                </c:pt>
                <c:pt idx="11">
                  <c:v>9</c:v>
                </c:pt>
                <c:pt idx="12">
                  <c:v>8</c:v>
                </c:pt>
                <c:pt idx="13">
                  <c:v>9</c:v>
                </c:pt>
                <c:pt idx="14">
                  <c:v>14</c:v>
                </c:pt>
                <c:pt idx="15">
                  <c:v>9</c:v>
                </c:pt>
                <c:pt idx="16">
                  <c:v>10</c:v>
                </c:pt>
                <c:pt idx="17">
                  <c:v>9</c:v>
                </c:pt>
                <c:pt idx="18">
                  <c:v>7</c:v>
                </c:pt>
                <c:pt idx="19">
                  <c:v>13</c:v>
                </c:pt>
                <c:pt idx="20">
                  <c:v>12</c:v>
                </c:pt>
                <c:pt idx="21">
                  <c:v>9</c:v>
                </c:pt>
                <c:pt idx="22">
                  <c:v>10</c:v>
                </c:pt>
                <c:pt idx="23">
                  <c:v>9</c:v>
                </c:pt>
              </c:numCache>
            </c:numRef>
          </c:val>
        </c:ser>
        <c:dLbls>
          <c:showLegendKey val="0"/>
          <c:showVal val="0"/>
          <c:showCatName val="0"/>
          <c:showSerName val="0"/>
          <c:showPercent val="0"/>
          <c:showBubbleSize val="0"/>
        </c:dLbls>
        <c:gapWidth val="150"/>
        <c:overlap val="100"/>
        <c:axId val="462848872"/>
        <c:axId val="398068296"/>
      </c:barChart>
      <c:catAx>
        <c:axId val="462848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crossAx val="398068296"/>
        <c:crosses val="autoZero"/>
        <c:auto val="1"/>
        <c:lblAlgn val="ctr"/>
        <c:lblOffset val="100"/>
        <c:noMultiLvlLbl val="0"/>
      </c:catAx>
      <c:valAx>
        <c:axId val="398068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crossAx val="462848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A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graf_prom!$Q$534</c:f>
              <c:strCache>
                <c:ptCount val="1"/>
                <c:pt idx="0">
                  <c:v>Por abajo del promedio</c:v>
                </c:pt>
              </c:strCache>
            </c:strRef>
          </c:tx>
          <c:spPr>
            <a:pattFill prst="dkDnDiag">
              <a:fgClr>
                <a:schemeClr val="tx1"/>
              </a:fgClr>
              <a:bgClr>
                <a:schemeClr val="bg1"/>
              </a:bgClr>
            </a:pattFill>
            <a:ln>
              <a:solidFill>
                <a:sysClr val="windowText" lastClr="000000"/>
              </a:solidFill>
            </a:ln>
            <a:effectLst/>
          </c:spPr>
          <c:invertIfNegative val="0"/>
          <c:cat>
            <c:strRef>
              <c:f>graf_prom!$A$536:$A$559</c:f>
              <c:strCache>
                <c:ptCount val="24"/>
                <c:pt idx="0">
                  <c:v>CABA</c:v>
                </c:pt>
                <c:pt idx="1">
                  <c:v>Bs As</c:v>
                </c:pt>
                <c:pt idx="2">
                  <c:v>Catam.</c:v>
                </c:pt>
                <c:pt idx="3">
                  <c:v>Cba</c:v>
                </c:pt>
                <c:pt idx="4">
                  <c:v>Corri.</c:v>
                </c:pt>
                <c:pt idx="5">
                  <c:v>Chaco</c:v>
                </c:pt>
                <c:pt idx="6">
                  <c:v>Chubut</c:v>
                </c:pt>
                <c:pt idx="7">
                  <c:v>Entre R.</c:v>
                </c:pt>
                <c:pt idx="8">
                  <c:v>Form.</c:v>
                </c:pt>
                <c:pt idx="9">
                  <c:v>Jujuy</c:v>
                </c:pt>
                <c:pt idx="10">
                  <c:v>La Pampa</c:v>
                </c:pt>
                <c:pt idx="11">
                  <c:v>La Rioja</c:v>
                </c:pt>
                <c:pt idx="12">
                  <c:v>Mza</c:v>
                </c:pt>
                <c:pt idx="13">
                  <c:v>Misio.</c:v>
                </c:pt>
                <c:pt idx="14">
                  <c:v>Neuq.</c:v>
                </c:pt>
                <c:pt idx="15">
                  <c:v>Río N.</c:v>
                </c:pt>
                <c:pt idx="16">
                  <c:v>Salta</c:v>
                </c:pt>
                <c:pt idx="17">
                  <c:v>S.J.</c:v>
                </c:pt>
                <c:pt idx="18">
                  <c:v>S. Luis</c:v>
                </c:pt>
                <c:pt idx="19">
                  <c:v>Sta. Cruz</c:v>
                </c:pt>
                <c:pt idx="20">
                  <c:v>Sta. Fe</c:v>
                </c:pt>
                <c:pt idx="21">
                  <c:v>Stgo d.E.</c:v>
                </c:pt>
                <c:pt idx="22">
                  <c:v>Tierra d.F.</c:v>
                </c:pt>
                <c:pt idx="23">
                  <c:v>Tucu.</c:v>
                </c:pt>
              </c:strCache>
            </c:strRef>
          </c:cat>
          <c:val>
            <c:numRef>
              <c:f>graf_prom!$Q$536:$Q$559</c:f>
              <c:numCache>
                <c:formatCode>General</c:formatCode>
                <c:ptCount val="24"/>
                <c:pt idx="0">
                  <c:v>12</c:v>
                </c:pt>
                <c:pt idx="1">
                  <c:v>9</c:v>
                </c:pt>
                <c:pt idx="2">
                  <c:v>13</c:v>
                </c:pt>
                <c:pt idx="3">
                  <c:v>11</c:v>
                </c:pt>
                <c:pt idx="4">
                  <c:v>9</c:v>
                </c:pt>
                <c:pt idx="5">
                  <c:v>10</c:v>
                </c:pt>
                <c:pt idx="6">
                  <c:v>12</c:v>
                </c:pt>
                <c:pt idx="7">
                  <c:v>13</c:v>
                </c:pt>
                <c:pt idx="8">
                  <c:v>12</c:v>
                </c:pt>
                <c:pt idx="9">
                  <c:v>12</c:v>
                </c:pt>
                <c:pt idx="10">
                  <c:v>10</c:v>
                </c:pt>
                <c:pt idx="11">
                  <c:v>14</c:v>
                </c:pt>
                <c:pt idx="12">
                  <c:v>12</c:v>
                </c:pt>
                <c:pt idx="13">
                  <c:v>10</c:v>
                </c:pt>
                <c:pt idx="14">
                  <c:v>10</c:v>
                </c:pt>
                <c:pt idx="15">
                  <c:v>11</c:v>
                </c:pt>
                <c:pt idx="16">
                  <c:v>9</c:v>
                </c:pt>
                <c:pt idx="17">
                  <c:v>7</c:v>
                </c:pt>
                <c:pt idx="18">
                  <c:v>13</c:v>
                </c:pt>
                <c:pt idx="19">
                  <c:v>9</c:v>
                </c:pt>
                <c:pt idx="20">
                  <c:v>13</c:v>
                </c:pt>
                <c:pt idx="21">
                  <c:v>11</c:v>
                </c:pt>
                <c:pt idx="22">
                  <c:v>12</c:v>
                </c:pt>
                <c:pt idx="23">
                  <c:v>10</c:v>
                </c:pt>
              </c:numCache>
            </c:numRef>
          </c:val>
        </c:ser>
        <c:ser>
          <c:idx val="1"/>
          <c:order val="1"/>
          <c:tx>
            <c:strRef>
              <c:f>graf_prom!$R$534</c:f>
              <c:strCache>
                <c:ptCount val="1"/>
                <c:pt idx="0">
                  <c:v>Por arriba del promedio</c:v>
                </c:pt>
              </c:strCache>
            </c:strRef>
          </c:tx>
          <c:spPr>
            <a:solidFill>
              <a:schemeClr val="bg1"/>
            </a:solidFill>
            <a:ln>
              <a:solidFill>
                <a:sysClr val="windowText" lastClr="00000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s-A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graf_prom!$A$536:$A$559</c:f>
              <c:strCache>
                <c:ptCount val="24"/>
                <c:pt idx="0">
                  <c:v>CABA</c:v>
                </c:pt>
                <c:pt idx="1">
                  <c:v>Bs As</c:v>
                </c:pt>
                <c:pt idx="2">
                  <c:v>Catam.</c:v>
                </c:pt>
                <c:pt idx="3">
                  <c:v>Cba</c:v>
                </c:pt>
                <c:pt idx="4">
                  <c:v>Corri.</c:v>
                </c:pt>
                <c:pt idx="5">
                  <c:v>Chaco</c:v>
                </c:pt>
                <c:pt idx="6">
                  <c:v>Chubut</c:v>
                </c:pt>
                <c:pt idx="7">
                  <c:v>Entre R.</c:v>
                </c:pt>
                <c:pt idx="8">
                  <c:v>Form.</c:v>
                </c:pt>
                <c:pt idx="9">
                  <c:v>Jujuy</c:v>
                </c:pt>
                <c:pt idx="10">
                  <c:v>La Pampa</c:v>
                </c:pt>
                <c:pt idx="11">
                  <c:v>La Rioja</c:v>
                </c:pt>
                <c:pt idx="12">
                  <c:v>Mza</c:v>
                </c:pt>
                <c:pt idx="13">
                  <c:v>Misio.</c:v>
                </c:pt>
                <c:pt idx="14">
                  <c:v>Neuq.</c:v>
                </c:pt>
                <c:pt idx="15">
                  <c:v>Río N.</c:v>
                </c:pt>
                <c:pt idx="16">
                  <c:v>Salta</c:v>
                </c:pt>
                <c:pt idx="17">
                  <c:v>S.J.</c:v>
                </c:pt>
                <c:pt idx="18">
                  <c:v>S. Luis</c:v>
                </c:pt>
                <c:pt idx="19">
                  <c:v>Sta. Cruz</c:v>
                </c:pt>
                <c:pt idx="20">
                  <c:v>Sta. Fe</c:v>
                </c:pt>
                <c:pt idx="21">
                  <c:v>Stgo d.E.</c:v>
                </c:pt>
                <c:pt idx="22">
                  <c:v>Tierra d.F.</c:v>
                </c:pt>
                <c:pt idx="23">
                  <c:v>Tucu.</c:v>
                </c:pt>
              </c:strCache>
            </c:strRef>
          </c:cat>
          <c:val>
            <c:numRef>
              <c:f>graf_prom!$R$536:$R$559</c:f>
              <c:numCache>
                <c:formatCode>General</c:formatCode>
                <c:ptCount val="24"/>
                <c:pt idx="0">
                  <c:v>10</c:v>
                </c:pt>
                <c:pt idx="1">
                  <c:v>13</c:v>
                </c:pt>
                <c:pt idx="2">
                  <c:v>9</c:v>
                </c:pt>
                <c:pt idx="3">
                  <c:v>11</c:v>
                </c:pt>
                <c:pt idx="4">
                  <c:v>13</c:v>
                </c:pt>
                <c:pt idx="5">
                  <c:v>12</c:v>
                </c:pt>
                <c:pt idx="6">
                  <c:v>10</c:v>
                </c:pt>
                <c:pt idx="7">
                  <c:v>9</c:v>
                </c:pt>
                <c:pt idx="8">
                  <c:v>10</c:v>
                </c:pt>
                <c:pt idx="9">
                  <c:v>10</c:v>
                </c:pt>
                <c:pt idx="10">
                  <c:v>12</c:v>
                </c:pt>
                <c:pt idx="11">
                  <c:v>8</c:v>
                </c:pt>
                <c:pt idx="12">
                  <c:v>10</c:v>
                </c:pt>
                <c:pt idx="13">
                  <c:v>12</c:v>
                </c:pt>
                <c:pt idx="14">
                  <c:v>12</c:v>
                </c:pt>
                <c:pt idx="15">
                  <c:v>11</c:v>
                </c:pt>
                <c:pt idx="16">
                  <c:v>13</c:v>
                </c:pt>
                <c:pt idx="17">
                  <c:v>15</c:v>
                </c:pt>
                <c:pt idx="18">
                  <c:v>9</c:v>
                </c:pt>
                <c:pt idx="19">
                  <c:v>13</c:v>
                </c:pt>
                <c:pt idx="20">
                  <c:v>9</c:v>
                </c:pt>
                <c:pt idx="21">
                  <c:v>11</c:v>
                </c:pt>
                <c:pt idx="22">
                  <c:v>10</c:v>
                </c:pt>
                <c:pt idx="23">
                  <c:v>12</c:v>
                </c:pt>
              </c:numCache>
            </c:numRef>
          </c:val>
        </c:ser>
        <c:dLbls>
          <c:showLegendKey val="0"/>
          <c:showVal val="0"/>
          <c:showCatName val="0"/>
          <c:showSerName val="0"/>
          <c:showPercent val="0"/>
          <c:showBubbleSize val="0"/>
        </c:dLbls>
        <c:gapWidth val="150"/>
        <c:overlap val="100"/>
        <c:axId val="266143904"/>
        <c:axId val="469916488"/>
      </c:barChart>
      <c:catAx>
        <c:axId val="266143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crossAx val="469916488"/>
        <c:crosses val="autoZero"/>
        <c:auto val="1"/>
        <c:lblAlgn val="ctr"/>
        <c:lblOffset val="100"/>
        <c:noMultiLvlLbl val="0"/>
      </c:catAx>
      <c:valAx>
        <c:axId val="469916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crossAx val="266143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A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graf_prom!$E$534</c:f>
              <c:strCache>
                <c:ptCount val="1"/>
                <c:pt idx="0">
                  <c:v>Por abajo del promedio</c:v>
                </c:pt>
              </c:strCache>
            </c:strRef>
          </c:tx>
          <c:spPr>
            <a:pattFill prst="dkDnDiag">
              <a:fgClr>
                <a:schemeClr val="tx1"/>
              </a:fgClr>
              <a:bgClr>
                <a:schemeClr val="bg1"/>
              </a:bgClr>
            </a:pattFill>
            <a:ln>
              <a:solidFill>
                <a:schemeClr val="tx1"/>
              </a:solidFill>
            </a:ln>
            <a:effectLst/>
          </c:spPr>
          <c:invertIfNegative val="0"/>
          <c:cat>
            <c:strRef>
              <c:f>graf_prom!$A$536:$A$559</c:f>
              <c:strCache>
                <c:ptCount val="24"/>
                <c:pt idx="0">
                  <c:v>CABA</c:v>
                </c:pt>
                <c:pt idx="1">
                  <c:v>Bs As</c:v>
                </c:pt>
                <c:pt idx="2">
                  <c:v>Catam.</c:v>
                </c:pt>
                <c:pt idx="3">
                  <c:v>Cba</c:v>
                </c:pt>
                <c:pt idx="4">
                  <c:v>Corri.</c:v>
                </c:pt>
                <c:pt idx="5">
                  <c:v>Chaco</c:v>
                </c:pt>
                <c:pt idx="6">
                  <c:v>Chubut</c:v>
                </c:pt>
                <c:pt idx="7">
                  <c:v>Entre R.</c:v>
                </c:pt>
                <c:pt idx="8">
                  <c:v>Form.</c:v>
                </c:pt>
                <c:pt idx="9">
                  <c:v>Jujuy</c:v>
                </c:pt>
                <c:pt idx="10">
                  <c:v>La Pampa</c:v>
                </c:pt>
                <c:pt idx="11">
                  <c:v>La Rioja</c:v>
                </c:pt>
                <c:pt idx="12">
                  <c:v>Mza</c:v>
                </c:pt>
                <c:pt idx="13">
                  <c:v>Misio.</c:v>
                </c:pt>
                <c:pt idx="14">
                  <c:v>Neuq.</c:v>
                </c:pt>
                <c:pt idx="15">
                  <c:v>Río N.</c:v>
                </c:pt>
                <c:pt idx="16">
                  <c:v>Salta</c:v>
                </c:pt>
                <c:pt idx="17">
                  <c:v>S.J.</c:v>
                </c:pt>
                <c:pt idx="18">
                  <c:v>S. Luis</c:v>
                </c:pt>
                <c:pt idx="19">
                  <c:v>Sta. Cruz</c:v>
                </c:pt>
                <c:pt idx="20">
                  <c:v>Sta. Fe</c:v>
                </c:pt>
                <c:pt idx="21">
                  <c:v>Stgo d.E.</c:v>
                </c:pt>
                <c:pt idx="22">
                  <c:v>Tierra d.F.</c:v>
                </c:pt>
                <c:pt idx="23">
                  <c:v>Tucu.</c:v>
                </c:pt>
              </c:strCache>
            </c:strRef>
          </c:cat>
          <c:val>
            <c:numRef>
              <c:f>graf_prom!$E$536:$E$559</c:f>
              <c:numCache>
                <c:formatCode>General</c:formatCode>
                <c:ptCount val="24"/>
                <c:pt idx="0">
                  <c:v>13</c:v>
                </c:pt>
                <c:pt idx="1">
                  <c:v>13</c:v>
                </c:pt>
                <c:pt idx="2">
                  <c:v>11</c:v>
                </c:pt>
                <c:pt idx="3">
                  <c:v>12</c:v>
                </c:pt>
                <c:pt idx="4">
                  <c:v>14</c:v>
                </c:pt>
                <c:pt idx="5">
                  <c:v>14</c:v>
                </c:pt>
                <c:pt idx="6">
                  <c:v>11</c:v>
                </c:pt>
                <c:pt idx="7">
                  <c:v>13</c:v>
                </c:pt>
                <c:pt idx="8">
                  <c:v>14</c:v>
                </c:pt>
                <c:pt idx="9">
                  <c:v>13</c:v>
                </c:pt>
                <c:pt idx="10">
                  <c:v>13</c:v>
                </c:pt>
                <c:pt idx="11">
                  <c:v>13</c:v>
                </c:pt>
                <c:pt idx="12">
                  <c:v>12</c:v>
                </c:pt>
                <c:pt idx="13">
                  <c:v>13</c:v>
                </c:pt>
                <c:pt idx="14">
                  <c:v>11</c:v>
                </c:pt>
                <c:pt idx="15">
                  <c:v>13</c:v>
                </c:pt>
                <c:pt idx="16">
                  <c:v>13</c:v>
                </c:pt>
                <c:pt idx="17">
                  <c:v>14</c:v>
                </c:pt>
                <c:pt idx="18">
                  <c:v>13</c:v>
                </c:pt>
                <c:pt idx="19">
                  <c:v>12</c:v>
                </c:pt>
                <c:pt idx="20">
                  <c:v>12</c:v>
                </c:pt>
                <c:pt idx="21">
                  <c:v>13</c:v>
                </c:pt>
                <c:pt idx="22">
                  <c:v>13</c:v>
                </c:pt>
                <c:pt idx="23">
                  <c:v>13</c:v>
                </c:pt>
              </c:numCache>
            </c:numRef>
          </c:val>
        </c:ser>
        <c:ser>
          <c:idx val="1"/>
          <c:order val="1"/>
          <c:tx>
            <c:strRef>
              <c:f>graf_prom!$F$534</c:f>
              <c:strCache>
                <c:ptCount val="1"/>
                <c:pt idx="0">
                  <c:v>Por arriba del promedio</c:v>
                </c:pt>
              </c:strCache>
            </c:strRef>
          </c:tx>
          <c:spPr>
            <a:solidFill>
              <a:schemeClr val="bg1"/>
            </a:solidFill>
            <a:ln>
              <a:solidFill>
                <a:schemeClr val="tx1"/>
              </a:solidFill>
            </a:ln>
            <a:effectLst/>
          </c:spPr>
          <c:invertIfNegative val="0"/>
          <c:dLbls>
            <c:spPr>
              <a:noFill/>
              <a:ln>
                <a:noFill/>
              </a:ln>
              <a:effectLst/>
            </c:spPr>
            <c:txPr>
              <a:bodyPr rot="0" spcFirstLastPara="1" vertOverflow="overflow" horzOverflow="overflow" vert="horz" wrap="square" lIns="38100" tIns="36000" rIns="36000" bIns="3600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s-AR"/>
              </a:p>
            </c:txPr>
            <c:dLblPos val="in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graf_prom!$A$536:$A$559</c:f>
              <c:strCache>
                <c:ptCount val="24"/>
                <c:pt idx="0">
                  <c:v>CABA</c:v>
                </c:pt>
                <c:pt idx="1">
                  <c:v>Bs As</c:v>
                </c:pt>
                <c:pt idx="2">
                  <c:v>Catam.</c:v>
                </c:pt>
                <c:pt idx="3">
                  <c:v>Cba</c:v>
                </c:pt>
                <c:pt idx="4">
                  <c:v>Corri.</c:v>
                </c:pt>
                <c:pt idx="5">
                  <c:v>Chaco</c:v>
                </c:pt>
                <c:pt idx="6">
                  <c:v>Chubut</c:v>
                </c:pt>
                <c:pt idx="7">
                  <c:v>Entre R.</c:v>
                </c:pt>
                <c:pt idx="8">
                  <c:v>Form.</c:v>
                </c:pt>
                <c:pt idx="9">
                  <c:v>Jujuy</c:v>
                </c:pt>
                <c:pt idx="10">
                  <c:v>La Pampa</c:v>
                </c:pt>
                <c:pt idx="11">
                  <c:v>La Rioja</c:v>
                </c:pt>
                <c:pt idx="12">
                  <c:v>Mza</c:v>
                </c:pt>
                <c:pt idx="13">
                  <c:v>Misio.</c:v>
                </c:pt>
                <c:pt idx="14">
                  <c:v>Neuq.</c:v>
                </c:pt>
                <c:pt idx="15">
                  <c:v>Río N.</c:v>
                </c:pt>
                <c:pt idx="16">
                  <c:v>Salta</c:v>
                </c:pt>
                <c:pt idx="17">
                  <c:v>S.J.</c:v>
                </c:pt>
                <c:pt idx="18">
                  <c:v>S. Luis</c:v>
                </c:pt>
                <c:pt idx="19">
                  <c:v>Sta. Cruz</c:v>
                </c:pt>
                <c:pt idx="20">
                  <c:v>Sta. Fe</c:v>
                </c:pt>
                <c:pt idx="21">
                  <c:v>Stgo d.E.</c:v>
                </c:pt>
                <c:pt idx="22">
                  <c:v>Tierra d.F.</c:v>
                </c:pt>
                <c:pt idx="23">
                  <c:v>Tucu.</c:v>
                </c:pt>
              </c:strCache>
            </c:strRef>
          </c:cat>
          <c:val>
            <c:numRef>
              <c:f>graf_prom!$F$536:$F$559</c:f>
              <c:numCache>
                <c:formatCode>General</c:formatCode>
                <c:ptCount val="24"/>
                <c:pt idx="0">
                  <c:v>9</c:v>
                </c:pt>
                <c:pt idx="1">
                  <c:v>9</c:v>
                </c:pt>
                <c:pt idx="2">
                  <c:v>11</c:v>
                </c:pt>
                <c:pt idx="3">
                  <c:v>10</c:v>
                </c:pt>
                <c:pt idx="4">
                  <c:v>8</c:v>
                </c:pt>
                <c:pt idx="5">
                  <c:v>8</c:v>
                </c:pt>
                <c:pt idx="6">
                  <c:v>11</c:v>
                </c:pt>
                <c:pt idx="7">
                  <c:v>9</c:v>
                </c:pt>
                <c:pt idx="8">
                  <c:v>8</c:v>
                </c:pt>
                <c:pt idx="9">
                  <c:v>9</c:v>
                </c:pt>
                <c:pt idx="10">
                  <c:v>9</c:v>
                </c:pt>
                <c:pt idx="11">
                  <c:v>9</c:v>
                </c:pt>
                <c:pt idx="12">
                  <c:v>10</c:v>
                </c:pt>
                <c:pt idx="13">
                  <c:v>9</c:v>
                </c:pt>
                <c:pt idx="14">
                  <c:v>11</c:v>
                </c:pt>
                <c:pt idx="15">
                  <c:v>9</c:v>
                </c:pt>
                <c:pt idx="16">
                  <c:v>9</c:v>
                </c:pt>
                <c:pt idx="17">
                  <c:v>8</c:v>
                </c:pt>
                <c:pt idx="18">
                  <c:v>9</c:v>
                </c:pt>
                <c:pt idx="19">
                  <c:v>10</c:v>
                </c:pt>
                <c:pt idx="20">
                  <c:v>10</c:v>
                </c:pt>
                <c:pt idx="21">
                  <c:v>9</c:v>
                </c:pt>
                <c:pt idx="22">
                  <c:v>9</c:v>
                </c:pt>
                <c:pt idx="23">
                  <c:v>9</c:v>
                </c:pt>
              </c:numCache>
            </c:numRef>
          </c:val>
        </c:ser>
        <c:dLbls>
          <c:showLegendKey val="0"/>
          <c:showVal val="0"/>
          <c:showCatName val="0"/>
          <c:showSerName val="0"/>
          <c:showPercent val="0"/>
          <c:showBubbleSize val="0"/>
        </c:dLbls>
        <c:gapWidth val="150"/>
        <c:overlap val="100"/>
        <c:axId val="469914528"/>
        <c:axId val="469916096"/>
      </c:barChart>
      <c:catAx>
        <c:axId val="469914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crossAx val="469916096"/>
        <c:crosses val="autoZero"/>
        <c:auto val="1"/>
        <c:lblAlgn val="ctr"/>
        <c:lblOffset val="100"/>
        <c:noMultiLvlLbl val="0"/>
      </c:catAx>
      <c:valAx>
        <c:axId val="469916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crossAx val="469914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A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Hoja2!$F$1</c:f>
              <c:strCache>
                <c:ptCount val="1"/>
                <c:pt idx="0">
                  <c:v>Por arriba del potencial</c:v>
                </c:pt>
              </c:strCache>
            </c:strRef>
          </c:tx>
          <c:spPr>
            <a:solidFill>
              <a:sysClr val="windowText" lastClr="0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mn-lt"/>
                    <a:ea typeface="+mn-ea"/>
                    <a:cs typeface="+mn-cs"/>
                  </a:defRPr>
                </a:pPr>
                <a:endParaRPr lang="es-A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Hoja2!$E$2:$E$25</c:f>
              <c:strCache>
                <c:ptCount val="24"/>
                <c:pt idx="0">
                  <c:v>Chubut</c:v>
                </c:pt>
                <c:pt idx="1">
                  <c:v>La Pampa</c:v>
                </c:pt>
                <c:pt idx="2">
                  <c:v>Neuq.</c:v>
                </c:pt>
                <c:pt idx="3">
                  <c:v>Río N.</c:v>
                </c:pt>
                <c:pt idx="4">
                  <c:v>S. Luis</c:v>
                </c:pt>
                <c:pt idx="5">
                  <c:v>Tierra d.F.</c:v>
                </c:pt>
                <c:pt idx="6">
                  <c:v>Sta. Cruz</c:v>
                </c:pt>
                <c:pt idx="7">
                  <c:v>CABA</c:v>
                </c:pt>
                <c:pt idx="8">
                  <c:v>Mza</c:v>
                </c:pt>
                <c:pt idx="9">
                  <c:v>Misio.</c:v>
                </c:pt>
                <c:pt idx="10">
                  <c:v>Tucu.</c:v>
                </c:pt>
                <c:pt idx="11">
                  <c:v>Salta</c:v>
                </c:pt>
                <c:pt idx="12">
                  <c:v>Entre R.</c:v>
                </c:pt>
                <c:pt idx="13">
                  <c:v>Catam.</c:v>
                </c:pt>
                <c:pt idx="14">
                  <c:v>La Rioja</c:v>
                </c:pt>
                <c:pt idx="15">
                  <c:v>Chaco</c:v>
                </c:pt>
                <c:pt idx="16">
                  <c:v>Form.</c:v>
                </c:pt>
                <c:pt idx="17">
                  <c:v>Jujuy</c:v>
                </c:pt>
                <c:pt idx="18">
                  <c:v>S.J.</c:v>
                </c:pt>
                <c:pt idx="19">
                  <c:v>Sta. Fe</c:v>
                </c:pt>
                <c:pt idx="20">
                  <c:v>Stgo d.E.</c:v>
                </c:pt>
                <c:pt idx="21">
                  <c:v>Bs As</c:v>
                </c:pt>
                <c:pt idx="22">
                  <c:v>Cba</c:v>
                </c:pt>
                <c:pt idx="23">
                  <c:v>Corri.</c:v>
                </c:pt>
              </c:strCache>
            </c:strRef>
          </c:cat>
          <c:val>
            <c:numRef>
              <c:f>Hoja2!$F$2:$F$25</c:f>
              <c:numCache>
                <c:formatCode>General</c:formatCode>
                <c:ptCount val="24"/>
                <c:pt idx="0">
                  <c:v>22</c:v>
                </c:pt>
                <c:pt idx="1">
                  <c:v>22</c:v>
                </c:pt>
                <c:pt idx="2">
                  <c:v>22</c:v>
                </c:pt>
                <c:pt idx="3">
                  <c:v>22</c:v>
                </c:pt>
                <c:pt idx="4">
                  <c:v>22</c:v>
                </c:pt>
                <c:pt idx="5">
                  <c:v>22</c:v>
                </c:pt>
                <c:pt idx="6">
                  <c:v>21</c:v>
                </c:pt>
                <c:pt idx="7">
                  <c:v>19</c:v>
                </c:pt>
                <c:pt idx="8">
                  <c:v>16</c:v>
                </c:pt>
                <c:pt idx="9">
                  <c:v>12</c:v>
                </c:pt>
                <c:pt idx="10">
                  <c:v>9</c:v>
                </c:pt>
                <c:pt idx="11">
                  <c:v>8</c:v>
                </c:pt>
                <c:pt idx="12">
                  <c:v>2</c:v>
                </c:pt>
                <c:pt idx="13">
                  <c:v>2</c:v>
                </c:pt>
                <c:pt idx="14">
                  <c:v>1</c:v>
                </c:pt>
                <c:pt idx="15">
                  <c:v>0</c:v>
                </c:pt>
                <c:pt idx="16">
                  <c:v>0</c:v>
                </c:pt>
                <c:pt idx="17">
                  <c:v>0</c:v>
                </c:pt>
                <c:pt idx="18">
                  <c:v>0</c:v>
                </c:pt>
                <c:pt idx="19">
                  <c:v>0</c:v>
                </c:pt>
                <c:pt idx="20">
                  <c:v>0</c:v>
                </c:pt>
                <c:pt idx="21">
                  <c:v>0</c:v>
                </c:pt>
                <c:pt idx="22">
                  <c:v>0</c:v>
                </c:pt>
                <c:pt idx="23">
                  <c:v>0</c:v>
                </c:pt>
              </c:numCache>
            </c:numRef>
          </c:val>
          <c:extLst xmlns:c16r2="http://schemas.microsoft.com/office/drawing/2015/06/chart">
            <c:ext xmlns:c16="http://schemas.microsoft.com/office/drawing/2014/chart" uri="{C3380CC4-5D6E-409C-BE32-E72D297353CC}">
              <c16:uniqueId val="{00000000-C15C-4F0C-81A0-6B69236FC9FC}"/>
            </c:ext>
          </c:extLst>
        </c:ser>
        <c:ser>
          <c:idx val="1"/>
          <c:order val="1"/>
          <c:tx>
            <c:strRef>
              <c:f>Hoja2!$G$1</c:f>
              <c:strCache>
                <c:ptCount val="1"/>
                <c:pt idx="0">
                  <c:v>Por debajo del potencial</c:v>
                </c:pt>
              </c:strCache>
            </c:strRef>
          </c:tx>
          <c:spPr>
            <a:pattFill prst="ltUpDiag">
              <a:fgClr>
                <a:schemeClr val="tx1"/>
              </a:fgClr>
              <a:bgClr>
                <a:schemeClr val="bg1"/>
              </a:bgClr>
            </a:patt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mn-lt"/>
                    <a:ea typeface="+mn-ea"/>
                    <a:cs typeface="+mn-cs"/>
                  </a:defRPr>
                </a:pPr>
                <a:endParaRPr lang="es-A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Hoja2!$E$2:$E$25</c:f>
              <c:strCache>
                <c:ptCount val="24"/>
                <c:pt idx="0">
                  <c:v>Chubut</c:v>
                </c:pt>
                <c:pt idx="1">
                  <c:v>La Pampa</c:v>
                </c:pt>
                <c:pt idx="2">
                  <c:v>Neuq.</c:v>
                </c:pt>
                <c:pt idx="3">
                  <c:v>Río N.</c:v>
                </c:pt>
                <c:pt idx="4">
                  <c:v>S. Luis</c:v>
                </c:pt>
                <c:pt idx="5">
                  <c:v>Tierra d.F.</c:v>
                </c:pt>
                <c:pt idx="6">
                  <c:v>Sta. Cruz</c:v>
                </c:pt>
                <c:pt idx="7">
                  <c:v>CABA</c:v>
                </c:pt>
                <c:pt idx="8">
                  <c:v>Mza</c:v>
                </c:pt>
                <c:pt idx="9">
                  <c:v>Misio.</c:v>
                </c:pt>
                <c:pt idx="10">
                  <c:v>Tucu.</c:v>
                </c:pt>
                <c:pt idx="11">
                  <c:v>Salta</c:v>
                </c:pt>
                <c:pt idx="12">
                  <c:v>Entre R.</c:v>
                </c:pt>
                <c:pt idx="13">
                  <c:v>Catam.</c:v>
                </c:pt>
                <c:pt idx="14">
                  <c:v>La Rioja</c:v>
                </c:pt>
                <c:pt idx="15">
                  <c:v>Chaco</c:v>
                </c:pt>
                <c:pt idx="16">
                  <c:v>Form.</c:v>
                </c:pt>
                <c:pt idx="17">
                  <c:v>Jujuy</c:v>
                </c:pt>
                <c:pt idx="18">
                  <c:v>S.J.</c:v>
                </c:pt>
                <c:pt idx="19">
                  <c:v>Sta. Fe</c:v>
                </c:pt>
                <c:pt idx="20">
                  <c:v>Stgo d.E.</c:v>
                </c:pt>
                <c:pt idx="21">
                  <c:v>Bs As</c:v>
                </c:pt>
                <c:pt idx="22">
                  <c:v>Cba</c:v>
                </c:pt>
                <c:pt idx="23">
                  <c:v>Corri.</c:v>
                </c:pt>
              </c:strCache>
            </c:strRef>
          </c:cat>
          <c:val>
            <c:numRef>
              <c:f>Hoja2!$G$2:$G$25</c:f>
              <c:numCache>
                <c:formatCode>General</c:formatCode>
                <c:ptCount val="24"/>
                <c:pt idx="0">
                  <c:v>0</c:v>
                </c:pt>
                <c:pt idx="1">
                  <c:v>0</c:v>
                </c:pt>
                <c:pt idx="2">
                  <c:v>0</c:v>
                </c:pt>
                <c:pt idx="3">
                  <c:v>0</c:v>
                </c:pt>
                <c:pt idx="4">
                  <c:v>0</c:v>
                </c:pt>
                <c:pt idx="5">
                  <c:v>0</c:v>
                </c:pt>
                <c:pt idx="6">
                  <c:v>1</c:v>
                </c:pt>
                <c:pt idx="7">
                  <c:v>0</c:v>
                </c:pt>
                <c:pt idx="8">
                  <c:v>6</c:v>
                </c:pt>
                <c:pt idx="9">
                  <c:v>10</c:v>
                </c:pt>
                <c:pt idx="10">
                  <c:v>13</c:v>
                </c:pt>
                <c:pt idx="11">
                  <c:v>14</c:v>
                </c:pt>
                <c:pt idx="12">
                  <c:v>20</c:v>
                </c:pt>
                <c:pt idx="13">
                  <c:v>20</c:v>
                </c:pt>
                <c:pt idx="14">
                  <c:v>21</c:v>
                </c:pt>
                <c:pt idx="15">
                  <c:v>22</c:v>
                </c:pt>
                <c:pt idx="16">
                  <c:v>22</c:v>
                </c:pt>
                <c:pt idx="17">
                  <c:v>22</c:v>
                </c:pt>
                <c:pt idx="18">
                  <c:v>22</c:v>
                </c:pt>
                <c:pt idx="19">
                  <c:v>22</c:v>
                </c:pt>
                <c:pt idx="20">
                  <c:v>22</c:v>
                </c:pt>
                <c:pt idx="21">
                  <c:v>22</c:v>
                </c:pt>
                <c:pt idx="22">
                  <c:v>22</c:v>
                </c:pt>
                <c:pt idx="23">
                  <c:v>22</c:v>
                </c:pt>
              </c:numCache>
            </c:numRef>
          </c:val>
          <c:extLst xmlns:c16r2="http://schemas.microsoft.com/office/drawing/2015/06/chart">
            <c:ext xmlns:c16="http://schemas.microsoft.com/office/drawing/2014/chart" uri="{C3380CC4-5D6E-409C-BE32-E72D297353CC}">
              <c16:uniqueId val="{00000001-C15C-4F0C-81A0-6B69236FC9FC}"/>
            </c:ext>
          </c:extLst>
        </c:ser>
        <c:dLbls>
          <c:showLegendKey val="0"/>
          <c:showVal val="0"/>
          <c:showCatName val="0"/>
          <c:showSerName val="0"/>
          <c:showPercent val="0"/>
          <c:showBubbleSize val="0"/>
        </c:dLbls>
        <c:gapWidth val="219"/>
        <c:overlap val="-27"/>
        <c:axId val="469904728"/>
        <c:axId val="469903160"/>
      </c:barChart>
      <c:catAx>
        <c:axId val="469904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crossAx val="469903160"/>
        <c:crosses val="autoZero"/>
        <c:auto val="1"/>
        <c:lblAlgn val="ctr"/>
        <c:lblOffset val="100"/>
        <c:noMultiLvlLbl val="0"/>
      </c:catAx>
      <c:valAx>
        <c:axId val="469903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crossAx val="469904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A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Zab99</b:Tag>
    <b:SourceType>Report</b:SourceType>
    <b:Guid>{DC396FA8-C5F9-4C14-8222-2113276DF2F7}</b:Guid>
    <b:Title>completar</b:Title>
    <b:Year>1999</b:Year>
    <b:Author>
      <b:Author>
        <b:NameList>
          <b:Person>
            <b:Last>Zabalza</b:Last>
            <b:First>______</b:First>
          </b:Person>
          <b:Person>
            <b:Last>Lasheras</b:Last>
            <b:First>____________</b:First>
          </b:Person>
        </b:NameList>
      </b:Author>
    </b:Author>
    <b:LCID>es-AR</b:LCID>
    <b:RefOrder>1</b:RefOrder>
  </b:Source>
</b:Sources>
</file>

<file path=customXml/itemProps1.xml><?xml version="1.0" encoding="utf-8"?>
<ds:datastoreItem xmlns:ds="http://schemas.openxmlformats.org/officeDocument/2006/customXml" ds:itemID="{AED55107-21FC-4ACD-A67D-80CC582D4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14074</Words>
  <Characters>77407</Characters>
  <Application>Microsoft Office Word</Application>
  <DocSecurity>0</DocSecurity>
  <Lines>645</Lines>
  <Paragraphs>182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INFORME FINAL – ALUMNOS AVANZADOS // “Esfuerzo Fiscal de las Provincias Argentinas”</vt:lpstr>
    </vt:vector>
  </TitlesOfParts>
  <Company/>
  <LinksUpToDate>false</LinksUpToDate>
  <CharactersWithSpaces>91299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Araujo</dc:creator>
  <cp:keywords/>
  <dc:description/>
  <cp:lastModifiedBy>Sonia</cp:lastModifiedBy>
  <cp:revision>2</cp:revision>
  <cp:lastPrinted>2017-08-30T01:58:00Z</cp:lastPrinted>
  <dcterms:created xsi:type="dcterms:W3CDTF">2017-08-31T00:59:00Z</dcterms:created>
  <dcterms:modified xsi:type="dcterms:W3CDTF">2017-08-31T00:59:00Z</dcterms:modified>
</cp:coreProperties>
</file>