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921" w:rsidRPr="00C34B39" w:rsidRDefault="00F95921" w:rsidP="00F95921">
      <w:pPr>
        <w:spacing w:after="0"/>
        <w:rPr>
          <w:b/>
        </w:rPr>
      </w:pPr>
      <w:r w:rsidRPr="00C34B39">
        <w:rPr>
          <w:b/>
          <w:sz w:val="28"/>
        </w:rPr>
        <w:t>50° JORNADAS INTERNACIONALES DE FINANZAS PÚBLICAS</w:t>
      </w:r>
    </w:p>
    <w:p w:rsidR="0039048D" w:rsidRDefault="00F95921" w:rsidP="00F95921">
      <w:pPr>
        <w:rPr>
          <w:b/>
        </w:rPr>
      </w:pPr>
      <w:r w:rsidRPr="00C34B39">
        <w:rPr>
          <w:b/>
        </w:rPr>
        <w:t>Reflexiones sobre cincuenta años de una exitosa actividad</w:t>
      </w:r>
    </w:p>
    <w:p w:rsidR="00F95921" w:rsidRPr="00C34B39" w:rsidRDefault="00F95921" w:rsidP="00F95921">
      <w:pPr>
        <w:spacing w:after="0"/>
      </w:pPr>
      <w:r w:rsidRPr="00C34B39">
        <w:rPr>
          <w:b/>
          <w:sz w:val="24"/>
        </w:rPr>
        <w:t>1. Introducción</w:t>
      </w:r>
    </w:p>
    <w:p w:rsidR="00F95921" w:rsidRPr="00C34B39" w:rsidRDefault="00F95921" w:rsidP="00F95921">
      <w:r w:rsidRPr="00C34B39">
        <w:t>El 16 de junio de 1968 se inauguraron las Primeras Jornadas de Finanzas Públicas o</w:t>
      </w:r>
      <w:r w:rsidRPr="00C34B39">
        <w:t>r</w:t>
      </w:r>
      <w:r w:rsidRPr="00C34B39">
        <w:t>ganizadas por la Facultad de Ciencias Económicas de la Universidad nacional de Có</w:t>
      </w:r>
      <w:r w:rsidRPr="00C34B39">
        <w:t>r</w:t>
      </w:r>
      <w:r w:rsidRPr="00C34B39">
        <w:t>doba</w:t>
      </w:r>
      <w:r>
        <w:t xml:space="preserve">. El entonces Decano de la Facultad, Dr. León </w:t>
      </w:r>
      <w:proofErr w:type="spellStart"/>
      <w:r>
        <w:t>Bril</w:t>
      </w:r>
      <w:proofErr w:type="spellEnd"/>
      <w:r>
        <w:t xml:space="preserve">, </w:t>
      </w:r>
      <w:r w:rsidR="0003272D">
        <w:t>en el acto inaugural, expresó</w:t>
      </w:r>
      <w:r>
        <w:t>, el propósito de que las Jornadas fueran “un aporte valioso al desafío que con su propio futuro está afrontando nuestro país” para lo cual se han reunido “profesores universit</w:t>
      </w:r>
      <w:r>
        <w:t>a</w:t>
      </w:r>
      <w:r>
        <w:t>rios, investigadores, funcionarios, asociaciones profesionales, técnicos” a</w:t>
      </w:r>
      <w:r w:rsidR="0003272D">
        <w:t xml:space="preserve"> fin de </w:t>
      </w:r>
      <w:r>
        <w:t xml:space="preserve"> co</w:t>
      </w:r>
      <w:r>
        <w:t>n</w:t>
      </w:r>
      <w:r>
        <w:t>tribuir a ese aporte e</w:t>
      </w:r>
      <w:r w:rsidR="0003272D">
        <w:t>n</w:t>
      </w:r>
      <w:r>
        <w:t xml:space="preserve"> una “casa del saber, la sede natural para su consideración cie</w:t>
      </w:r>
      <w:r>
        <w:t>n</w:t>
      </w:r>
      <w:r>
        <w:t>tífica y desapasionada”</w:t>
      </w:r>
      <w:r>
        <w:rPr>
          <w:rStyle w:val="Refdenotaalpie"/>
        </w:rPr>
        <w:footnoteReference w:id="1"/>
      </w:r>
      <w:r>
        <w:t xml:space="preserve">. El Dr. Amalio Humberto </w:t>
      </w:r>
      <w:proofErr w:type="spellStart"/>
      <w:r>
        <w:t>Petrei</w:t>
      </w:r>
      <w:proofErr w:type="spellEnd"/>
      <w:r>
        <w:t>, uno de los principales inspir</w:t>
      </w:r>
      <w:r>
        <w:t>a</w:t>
      </w:r>
      <w:r>
        <w:t xml:space="preserve">dores e impulsores de la idea de realizar las Jornadas, </w:t>
      </w:r>
      <w:r w:rsidR="0003272D">
        <w:t xml:space="preserve">sostuvo </w:t>
      </w:r>
      <w:r>
        <w:t xml:space="preserve">en la cena de agasajo que “la universidad puede proporcionar el lugar y el marco de imparcialidad adecuado para discusiones de esta </w:t>
      </w:r>
      <w:proofErr w:type="gramStart"/>
      <w:r>
        <w:t>naturaleza …</w:t>
      </w:r>
      <w:proofErr w:type="gramEnd"/>
      <w:r>
        <w:t xml:space="preserve"> toda vez que se presenta a la discusión un conjunto de problemas donde los conflictos emergen de continuo”. Señaló, además, que los participantes se harán cargo de una filosofía: “trabajar en los aspectos teóricos mirando muy de cerca lo que ocurre en la realidad y procurar su aplicación en la sol</w:t>
      </w:r>
      <w:r>
        <w:t>u</w:t>
      </w:r>
      <w:r>
        <w:t xml:space="preserve">ción de problemas </w:t>
      </w:r>
      <w:proofErr w:type="gramStart"/>
      <w:r>
        <w:t>concretos …</w:t>
      </w:r>
      <w:proofErr w:type="gramEnd"/>
      <w:r>
        <w:t xml:space="preserve"> escudriñando permanentemente acerca de las impl</w:t>
      </w:r>
      <w:r>
        <w:t>i</w:t>
      </w:r>
      <w:r>
        <w:t>cancias políticas vinculadas con cada especulación teórica”. Y finalmente subrayó el anhelo de los organizadores del evento: “que estas reuniones se realicen en el futuro anualmente y que se nutran con creciente caudal de aportes de los miembros partic</w:t>
      </w:r>
      <w:r>
        <w:t>i</w:t>
      </w:r>
      <w:r>
        <w:t>pantes”</w:t>
      </w:r>
      <w:r>
        <w:rPr>
          <w:rStyle w:val="Refdenotaalpie"/>
        </w:rPr>
        <w:footnoteReference w:id="2"/>
      </w:r>
      <w:r>
        <w:t xml:space="preserve">. </w:t>
      </w:r>
    </w:p>
    <w:p w:rsidR="00F95921" w:rsidRDefault="00F95921" w:rsidP="00F95921">
      <w:r>
        <w:t>Han pasado</w:t>
      </w:r>
      <w:r w:rsidR="0003272D">
        <w:t xml:space="preserve"> casi</w:t>
      </w:r>
      <w:r>
        <w:t xml:space="preserve"> cincuenta años desde que fueron pronunciadas las palabras antes c</w:t>
      </w:r>
      <w:r>
        <w:t>i</w:t>
      </w:r>
      <w:r>
        <w:t>tadas y hoy podemos afirmar que esos anhelos y objetivos han sido plenamente a</w:t>
      </w:r>
      <w:r>
        <w:t>l</w:t>
      </w:r>
      <w:r>
        <w:t>canzados. Las Jornadas de Finanzas Públicas de Córdoba se han consolidado como el evento académico más importante del país, y quizás de América Latina. Ello ha sido por el nivel de los trabajos presentados, por la calidad de los debates y de los mie</w:t>
      </w:r>
      <w:r>
        <w:t>m</w:t>
      </w:r>
      <w:r>
        <w:t>bros participantes, por el clima intelectual que la Universidad Nacional de Córdoba por medio de su Facultas de Ciencias Económicas, ha brindado y, también, por la cont</w:t>
      </w:r>
      <w:r>
        <w:t>i</w:t>
      </w:r>
      <w:r>
        <w:t>nuidad lograda  pese a la dificultades de variado tipo que la sociedad argentina ha d</w:t>
      </w:r>
      <w:r>
        <w:t>e</w:t>
      </w:r>
      <w:r>
        <w:t>bido afrontar en los últimos cincuenta años. Podemos, entonces, afirmar que los pr</w:t>
      </w:r>
      <w:r>
        <w:t>o</w:t>
      </w:r>
      <w:r>
        <w:t>pósitos iniciales se han cumplido y que podemos hoy celebrar el éxito de la tarea real</w:t>
      </w:r>
      <w:r>
        <w:t>i</w:t>
      </w:r>
      <w:r>
        <w:t xml:space="preserve">zada en estas cinco décadas. </w:t>
      </w:r>
    </w:p>
    <w:p w:rsidR="00F95921" w:rsidRPr="00C34B39" w:rsidRDefault="00F95921" w:rsidP="00F95921">
      <w:r>
        <w:t>Pensemos, también, qué deberemos hacer para que los logros conseguidos se ma</w:t>
      </w:r>
      <w:r>
        <w:t>n</w:t>
      </w:r>
      <w:r>
        <w:t>tengan y se acrecienten en el futuro. Las secciones que siguen se dedican a algunos análisis y reflexiones sobre las experiencias vividas en la Jornadas, con la pretensión de contribuir a la tarea futura.</w:t>
      </w:r>
    </w:p>
    <w:p w:rsidR="00F95921" w:rsidRPr="008338C7" w:rsidRDefault="00F95921" w:rsidP="00F95921">
      <w:pPr>
        <w:spacing w:after="0"/>
        <w:rPr>
          <w:b/>
          <w:sz w:val="24"/>
        </w:rPr>
      </w:pPr>
      <w:r>
        <w:rPr>
          <w:b/>
          <w:sz w:val="24"/>
        </w:rPr>
        <w:t>2. Consideraciones sobre las actividades de las Jornadas</w:t>
      </w:r>
    </w:p>
    <w:p w:rsidR="00F95921" w:rsidRDefault="00F95921" w:rsidP="00F95921">
      <w:r>
        <w:t>Las actividades de las Jornadas, como sabemos, consisten en la presentación de tr</w:t>
      </w:r>
      <w:r>
        <w:t>a</w:t>
      </w:r>
      <w:r>
        <w:t xml:space="preserve">bajos. </w:t>
      </w:r>
      <w:proofErr w:type="gramStart"/>
      <w:r>
        <w:t>su</w:t>
      </w:r>
      <w:proofErr w:type="gramEnd"/>
      <w:r>
        <w:t xml:space="preserve"> discusión posterior y la realización de mesas, paneles y presentaciones s</w:t>
      </w:r>
      <w:r>
        <w:t>o</w:t>
      </w:r>
      <w:r>
        <w:t>bre temas específicos.</w:t>
      </w:r>
    </w:p>
    <w:p w:rsidR="006F4434" w:rsidRPr="006F4434" w:rsidRDefault="006F4434" w:rsidP="006F4434">
      <w:pPr>
        <w:spacing w:after="0"/>
        <w:rPr>
          <w:b/>
        </w:rPr>
      </w:pPr>
      <w:r w:rsidRPr="006F4434">
        <w:rPr>
          <w:b/>
        </w:rPr>
        <w:t xml:space="preserve">2.1 </w:t>
      </w:r>
      <w:r w:rsidR="00135C0E">
        <w:rPr>
          <w:b/>
        </w:rPr>
        <w:t>Clasificación de los trabajos según los temas considerados</w:t>
      </w:r>
    </w:p>
    <w:p w:rsidR="00F95921" w:rsidRDefault="00F95921" w:rsidP="00F95921">
      <w:r>
        <w:t xml:space="preserve">Nos </w:t>
      </w:r>
      <w:r w:rsidR="00562BAE">
        <w:t>ocupa</w:t>
      </w:r>
      <w:r>
        <w:t>remos</w:t>
      </w:r>
      <w:r w:rsidR="00135C0E">
        <w:t>, primero,</w:t>
      </w:r>
      <w:r w:rsidR="0003272D">
        <w:t xml:space="preserve"> de</w:t>
      </w:r>
      <w:r>
        <w:t xml:space="preserve"> la clasificación y análisis de los trabajos presentados en las cuarenta y nueve reuniones anteriores con la finalidad de reflexionar sobre los t</w:t>
      </w:r>
      <w:r>
        <w:t>e</w:t>
      </w:r>
      <w:r>
        <w:t>mas considerados y su relación con lo que podríamos llamar “la vida fiscal” de Arge</w:t>
      </w:r>
      <w:r>
        <w:t>n</w:t>
      </w:r>
      <w:r>
        <w:t>tina en el período</w:t>
      </w:r>
      <w:r>
        <w:rPr>
          <w:rStyle w:val="Refdenotaalpie"/>
        </w:rPr>
        <w:footnoteReference w:id="3"/>
      </w:r>
      <w:r>
        <w:t>.</w:t>
      </w:r>
    </w:p>
    <w:p w:rsidR="00F95921" w:rsidRDefault="00F95921" w:rsidP="00F95921">
      <w:r>
        <w:lastRenderedPageBreak/>
        <w:t>Para ello se ha contado con 35 Anales de las Jornadas existentes en Bahía Blanca y con el valioso aporte de la Facultad de Ciencias Económicas de La Universidad N</w:t>
      </w:r>
      <w:r>
        <w:t>a</w:t>
      </w:r>
      <w:r>
        <w:t>cional de Córdoba que nos brindó información sobre el material faltante. Se pudo co</w:t>
      </w:r>
      <w:r>
        <w:t>n</w:t>
      </w:r>
      <w:r>
        <w:t>tar entonces con referencias sobre los 1.259 trabajos presentados en 49 Jornadas. La mayoría de los mismos están en su versión completa, en algunos casos contamos sólo con los resúmenes y en muy contadas oportunidades sólo con el título. Pese a estas limitaciones consideramos que el material que hemos podido reunir permite formarnos una idea fundada de los temas abordados</w:t>
      </w:r>
      <w:r>
        <w:rPr>
          <w:rStyle w:val="Refdenotaalpie"/>
        </w:rPr>
        <w:footnoteReference w:id="4"/>
      </w:r>
      <w:r>
        <w:t>.</w:t>
      </w:r>
    </w:p>
    <w:p w:rsidR="00F95921" w:rsidRDefault="00F95921" w:rsidP="00F95921">
      <w:pPr>
        <w:spacing w:after="0"/>
      </w:pPr>
      <w:r>
        <w:t>El paso siguiente ha sido la clasificación de los trabajos. La tarea no es sencilla porque una clasificación implica otorgarle “una casilla” al trabajo y los temas abordados son complejos y se entrelazan muy frecuentemente varias de las categorías de las clasif</w:t>
      </w:r>
      <w:r>
        <w:t>i</w:t>
      </w:r>
      <w:r>
        <w:t>caciones</w:t>
      </w:r>
      <w:r w:rsidR="0003272D">
        <w:t xml:space="preserve"> habitualmente usadas</w:t>
      </w:r>
      <w:r>
        <w:t>. Esto se comprueba, además, en los trabajos prese</w:t>
      </w:r>
      <w:r>
        <w:t>n</w:t>
      </w:r>
      <w:r>
        <w:t>tados en los últimos años donde se requería que el autor fijara la ubicación de su tr</w:t>
      </w:r>
      <w:r>
        <w:t>a</w:t>
      </w:r>
      <w:r>
        <w:t xml:space="preserve">bajo en una de las clasificaciones elaboradas por el </w:t>
      </w:r>
      <w:proofErr w:type="spellStart"/>
      <w:r>
        <w:t>Journal</w:t>
      </w:r>
      <w:proofErr w:type="spellEnd"/>
      <w:r>
        <w:t xml:space="preserve"> of </w:t>
      </w:r>
      <w:proofErr w:type="spellStart"/>
      <w:r>
        <w:t>Economic</w:t>
      </w:r>
      <w:proofErr w:type="spellEnd"/>
      <w:r>
        <w:t xml:space="preserve"> </w:t>
      </w:r>
      <w:proofErr w:type="spellStart"/>
      <w:r>
        <w:t>Literature</w:t>
      </w:r>
      <w:proofErr w:type="spellEnd"/>
      <w:r>
        <w:t xml:space="preserve"> (en adelante JEL) notándose que en la mayoría abrumadora de los casos se mencionaban varias categoría sin que hubiera un ordenamiento explícito de la importancia de las mismas. Teniendo en cuenta lo anterior, el Cuadro 1 muestra la distribución de los tr</w:t>
      </w:r>
      <w:r>
        <w:t>a</w:t>
      </w:r>
      <w:r>
        <w:t>bajos siguiendo la clasificación JEL</w:t>
      </w:r>
    </w:p>
    <w:p w:rsidR="00F95921" w:rsidRDefault="00F95921" w:rsidP="00F95921">
      <w:pPr>
        <w:spacing w:after="0"/>
      </w:pPr>
    </w:p>
    <w:p w:rsidR="00F95921" w:rsidRPr="00C3706F" w:rsidRDefault="00F95921" w:rsidP="00F95921">
      <w:pPr>
        <w:spacing w:after="0"/>
        <w:jc w:val="center"/>
        <w:rPr>
          <w:b/>
        </w:rPr>
      </w:pPr>
      <w:r w:rsidRPr="00C3706F">
        <w:rPr>
          <w:b/>
        </w:rPr>
        <w:t>Cuadro 1</w:t>
      </w:r>
    </w:p>
    <w:p w:rsidR="00F95921" w:rsidRPr="00C3706F" w:rsidRDefault="00F95921" w:rsidP="00F95921">
      <w:pPr>
        <w:jc w:val="center"/>
        <w:rPr>
          <w:b/>
        </w:rPr>
      </w:pPr>
      <w:r w:rsidRPr="00C3706F">
        <w:rPr>
          <w:b/>
        </w:rPr>
        <w:t>Clasificación JEL de los Trabajos</w:t>
      </w:r>
    </w:p>
    <w:tbl>
      <w:tblPr>
        <w:tblStyle w:val="Tablaconcuadrcula"/>
        <w:tblW w:w="0" w:type="auto"/>
        <w:tblLook w:val="04A0" w:firstRow="1" w:lastRow="0" w:firstColumn="1" w:lastColumn="0" w:noHBand="0" w:noVBand="1"/>
      </w:tblPr>
      <w:tblGrid>
        <w:gridCol w:w="817"/>
        <w:gridCol w:w="4111"/>
        <w:gridCol w:w="1843"/>
        <w:gridCol w:w="1873"/>
      </w:tblGrid>
      <w:tr w:rsidR="00F95921" w:rsidTr="00885B05">
        <w:tc>
          <w:tcPr>
            <w:tcW w:w="817" w:type="dxa"/>
            <w:vMerge w:val="restart"/>
            <w:tcBorders>
              <w:top w:val="nil"/>
              <w:left w:val="nil"/>
              <w:right w:val="nil"/>
            </w:tcBorders>
          </w:tcPr>
          <w:p w:rsidR="00F95921" w:rsidRDefault="00F95921" w:rsidP="00885B05"/>
        </w:tc>
        <w:tc>
          <w:tcPr>
            <w:tcW w:w="4111" w:type="dxa"/>
            <w:vMerge w:val="restart"/>
            <w:tcBorders>
              <w:top w:val="nil"/>
              <w:left w:val="nil"/>
            </w:tcBorders>
          </w:tcPr>
          <w:p w:rsidR="00F95921" w:rsidRDefault="00F95921" w:rsidP="00885B05">
            <w:pPr>
              <w:jc w:val="center"/>
            </w:pPr>
          </w:p>
          <w:p w:rsidR="00F95921" w:rsidRDefault="00F95921" w:rsidP="00885B05">
            <w:pPr>
              <w:jc w:val="center"/>
            </w:pPr>
            <w:r>
              <w:t>Temas Contenidos</w:t>
            </w:r>
          </w:p>
        </w:tc>
        <w:tc>
          <w:tcPr>
            <w:tcW w:w="3716" w:type="dxa"/>
            <w:gridSpan w:val="2"/>
          </w:tcPr>
          <w:p w:rsidR="00F95921" w:rsidRDefault="00F95921" w:rsidP="00885B05">
            <w:pPr>
              <w:jc w:val="center"/>
            </w:pPr>
            <w:r>
              <w:t>Trabajos presentados 1968-2016</w:t>
            </w:r>
          </w:p>
        </w:tc>
      </w:tr>
      <w:tr w:rsidR="00F95921" w:rsidTr="00885B05">
        <w:tc>
          <w:tcPr>
            <w:tcW w:w="817" w:type="dxa"/>
            <w:vMerge/>
            <w:tcBorders>
              <w:left w:val="nil"/>
              <w:right w:val="nil"/>
            </w:tcBorders>
          </w:tcPr>
          <w:p w:rsidR="00F95921" w:rsidRDefault="00F95921" w:rsidP="00885B05"/>
        </w:tc>
        <w:tc>
          <w:tcPr>
            <w:tcW w:w="4111" w:type="dxa"/>
            <w:vMerge/>
            <w:tcBorders>
              <w:left w:val="nil"/>
            </w:tcBorders>
          </w:tcPr>
          <w:p w:rsidR="00F95921" w:rsidRDefault="00F95921" w:rsidP="00885B05"/>
        </w:tc>
        <w:tc>
          <w:tcPr>
            <w:tcW w:w="1843" w:type="dxa"/>
          </w:tcPr>
          <w:p w:rsidR="00F95921" w:rsidRDefault="00F95921" w:rsidP="00885B05">
            <w:pPr>
              <w:jc w:val="center"/>
            </w:pPr>
            <w:r>
              <w:t>Número</w:t>
            </w:r>
          </w:p>
        </w:tc>
        <w:tc>
          <w:tcPr>
            <w:tcW w:w="1873" w:type="dxa"/>
          </w:tcPr>
          <w:p w:rsidR="00F95921" w:rsidRDefault="00F95921" w:rsidP="00885B05">
            <w:pPr>
              <w:jc w:val="center"/>
            </w:pPr>
            <w:r>
              <w:t>Porcentaje</w:t>
            </w:r>
          </w:p>
        </w:tc>
      </w:tr>
      <w:tr w:rsidR="00F95921" w:rsidTr="00885B05">
        <w:tc>
          <w:tcPr>
            <w:tcW w:w="817" w:type="dxa"/>
          </w:tcPr>
          <w:p w:rsidR="00F95921" w:rsidRDefault="00F95921" w:rsidP="00885B05">
            <w:pPr>
              <w:jc w:val="center"/>
            </w:pPr>
            <w:r>
              <w:t>H0</w:t>
            </w:r>
          </w:p>
          <w:p w:rsidR="00F95921" w:rsidRDefault="00F95921" w:rsidP="00885B05">
            <w:pPr>
              <w:jc w:val="center"/>
            </w:pPr>
            <w:r>
              <w:t>H1</w:t>
            </w:r>
          </w:p>
          <w:p w:rsidR="00F95921" w:rsidRDefault="00F95921" w:rsidP="00885B05">
            <w:pPr>
              <w:jc w:val="center"/>
            </w:pPr>
            <w:r>
              <w:t>H2</w:t>
            </w:r>
          </w:p>
          <w:p w:rsidR="00F95921" w:rsidRDefault="00F95921" w:rsidP="00885B05">
            <w:pPr>
              <w:jc w:val="center"/>
            </w:pPr>
            <w:r>
              <w:t>H3</w:t>
            </w:r>
          </w:p>
          <w:p w:rsidR="00F95921" w:rsidRDefault="00F95921" w:rsidP="00885B05">
            <w:pPr>
              <w:jc w:val="center"/>
            </w:pPr>
          </w:p>
          <w:p w:rsidR="00F95921" w:rsidRDefault="00F95921" w:rsidP="00885B05">
            <w:pPr>
              <w:jc w:val="center"/>
            </w:pPr>
            <w:r>
              <w:t>H4</w:t>
            </w:r>
          </w:p>
          <w:p w:rsidR="00F95921" w:rsidRDefault="00F95921" w:rsidP="00885B05">
            <w:pPr>
              <w:jc w:val="center"/>
            </w:pPr>
            <w:r>
              <w:t>H5</w:t>
            </w:r>
          </w:p>
          <w:p w:rsidR="00F95921" w:rsidRDefault="00F95921" w:rsidP="00885B05">
            <w:pPr>
              <w:jc w:val="center"/>
            </w:pPr>
          </w:p>
          <w:p w:rsidR="00F95921" w:rsidRDefault="00F95921" w:rsidP="00885B05">
            <w:pPr>
              <w:jc w:val="center"/>
            </w:pPr>
            <w:r>
              <w:t>H6</w:t>
            </w:r>
          </w:p>
          <w:p w:rsidR="00F95921" w:rsidRDefault="00F95921" w:rsidP="00885B05">
            <w:pPr>
              <w:jc w:val="center"/>
            </w:pPr>
            <w:r>
              <w:t>H7</w:t>
            </w:r>
          </w:p>
          <w:p w:rsidR="00F95921" w:rsidRDefault="00F95921" w:rsidP="00885B05">
            <w:pPr>
              <w:jc w:val="center"/>
            </w:pPr>
          </w:p>
          <w:p w:rsidR="00F95921" w:rsidRDefault="00F95921" w:rsidP="00885B05">
            <w:pPr>
              <w:jc w:val="center"/>
            </w:pPr>
            <w:r>
              <w:t>H8</w:t>
            </w:r>
          </w:p>
          <w:p w:rsidR="00F95921" w:rsidRDefault="00F95921" w:rsidP="00885B05">
            <w:pPr>
              <w:jc w:val="center"/>
            </w:pPr>
            <w:r>
              <w:t>Otras</w:t>
            </w:r>
          </w:p>
        </w:tc>
        <w:tc>
          <w:tcPr>
            <w:tcW w:w="4111" w:type="dxa"/>
          </w:tcPr>
          <w:p w:rsidR="00F95921" w:rsidRDefault="00F95921" w:rsidP="00885B05">
            <w:r>
              <w:t>General</w:t>
            </w:r>
          </w:p>
          <w:p w:rsidR="00F95921" w:rsidRDefault="00F95921" w:rsidP="00885B05">
            <w:r>
              <w:t>Estructura y alcance del gobierno</w:t>
            </w:r>
          </w:p>
          <w:p w:rsidR="00F95921" w:rsidRDefault="00F95921" w:rsidP="00885B05">
            <w:r>
              <w:t>Impuestos y subsidios</w:t>
            </w:r>
          </w:p>
          <w:p w:rsidR="00F95921" w:rsidRDefault="00F95921" w:rsidP="00885B05">
            <w:r>
              <w:t>Políticas fiscales y comportamiento de los agentes económicos</w:t>
            </w:r>
          </w:p>
          <w:p w:rsidR="00F95921" w:rsidRDefault="00F95921" w:rsidP="00885B05">
            <w:r>
              <w:t>Bienes provistos públicamente</w:t>
            </w:r>
          </w:p>
          <w:p w:rsidR="00F95921" w:rsidRDefault="00F95921" w:rsidP="00885B05">
            <w:r>
              <w:t>Gastos del gobierno nacional y políticas vinculadas</w:t>
            </w:r>
          </w:p>
          <w:p w:rsidR="00F95921" w:rsidRDefault="00F95921" w:rsidP="00885B05">
            <w:r>
              <w:t>Presupuesto nacional, déficit y deuda</w:t>
            </w:r>
          </w:p>
          <w:p w:rsidR="00F95921" w:rsidRDefault="00F95921" w:rsidP="00885B05">
            <w:r>
              <w:t>Gobiernos provinciales y municipales. Relaciones intergubernamentales</w:t>
            </w:r>
          </w:p>
          <w:p w:rsidR="00F95921" w:rsidRDefault="00F95921" w:rsidP="00885B05">
            <w:r>
              <w:t>Miscelánea</w:t>
            </w:r>
          </w:p>
          <w:p w:rsidR="00F95921" w:rsidRDefault="00F95921" w:rsidP="00885B05">
            <w:r>
              <w:t>Varios, relacionados con Finanzas P</w:t>
            </w:r>
            <w:r>
              <w:t>ú</w:t>
            </w:r>
            <w:r>
              <w:t>blicas</w:t>
            </w:r>
          </w:p>
          <w:p w:rsidR="00F95921" w:rsidRDefault="00F95921" w:rsidP="00885B05">
            <w:pPr>
              <w:jc w:val="right"/>
            </w:pPr>
            <w:r>
              <w:t>Totales</w:t>
            </w:r>
          </w:p>
        </w:tc>
        <w:tc>
          <w:tcPr>
            <w:tcW w:w="1843" w:type="dxa"/>
          </w:tcPr>
          <w:p w:rsidR="00F95921" w:rsidRDefault="00F95921" w:rsidP="00885B05">
            <w:pPr>
              <w:jc w:val="center"/>
            </w:pPr>
            <w:r>
              <w:t xml:space="preserve">    55</w:t>
            </w:r>
          </w:p>
          <w:p w:rsidR="00F95921" w:rsidRDefault="00F95921" w:rsidP="00885B05">
            <w:pPr>
              <w:jc w:val="center"/>
            </w:pPr>
            <w:r>
              <w:t xml:space="preserve">    28</w:t>
            </w:r>
          </w:p>
          <w:p w:rsidR="00F95921" w:rsidRDefault="00F95921" w:rsidP="00885B05">
            <w:pPr>
              <w:jc w:val="center"/>
            </w:pPr>
            <w:r>
              <w:t xml:space="preserve">  256</w:t>
            </w:r>
          </w:p>
          <w:p w:rsidR="00F95921" w:rsidRDefault="00F95921" w:rsidP="00885B05">
            <w:pPr>
              <w:jc w:val="center"/>
            </w:pPr>
            <w:r>
              <w:t xml:space="preserve">  144</w:t>
            </w:r>
          </w:p>
          <w:p w:rsidR="00F95921" w:rsidRDefault="00F95921" w:rsidP="00885B05">
            <w:pPr>
              <w:jc w:val="center"/>
            </w:pPr>
          </w:p>
          <w:p w:rsidR="00F95921" w:rsidRDefault="00F95921" w:rsidP="00885B05">
            <w:pPr>
              <w:jc w:val="center"/>
            </w:pPr>
            <w:r>
              <w:t xml:space="preserve">   43</w:t>
            </w:r>
          </w:p>
          <w:p w:rsidR="00F95921" w:rsidRDefault="00F95921" w:rsidP="00885B05">
            <w:pPr>
              <w:jc w:val="center"/>
            </w:pPr>
            <w:r>
              <w:t xml:space="preserve">  151</w:t>
            </w:r>
          </w:p>
          <w:p w:rsidR="00F95921" w:rsidRDefault="00F95921" w:rsidP="00885B05">
            <w:pPr>
              <w:jc w:val="center"/>
            </w:pPr>
          </w:p>
          <w:p w:rsidR="00F95921" w:rsidRDefault="00F95921" w:rsidP="00885B05">
            <w:pPr>
              <w:jc w:val="center"/>
            </w:pPr>
            <w:r>
              <w:t xml:space="preserve">  102</w:t>
            </w:r>
          </w:p>
          <w:p w:rsidR="00F95921" w:rsidRDefault="00F95921" w:rsidP="00885B05">
            <w:pPr>
              <w:jc w:val="center"/>
            </w:pPr>
            <w:r>
              <w:t xml:space="preserve">  309</w:t>
            </w:r>
          </w:p>
          <w:p w:rsidR="00F95921" w:rsidRDefault="00F95921" w:rsidP="00885B05">
            <w:pPr>
              <w:jc w:val="center"/>
            </w:pPr>
          </w:p>
          <w:p w:rsidR="00F95921" w:rsidRDefault="00F95921" w:rsidP="00885B05">
            <w:pPr>
              <w:jc w:val="center"/>
            </w:pPr>
            <w:r>
              <w:t xml:space="preserve">    45</w:t>
            </w:r>
          </w:p>
          <w:p w:rsidR="00F95921" w:rsidRDefault="00F95921" w:rsidP="00885B05">
            <w:pPr>
              <w:jc w:val="center"/>
            </w:pPr>
            <w:r>
              <w:t xml:space="preserve">  126</w:t>
            </w:r>
          </w:p>
          <w:p w:rsidR="00F95921" w:rsidRDefault="00F95921" w:rsidP="00885B05">
            <w:pPr>
              <w:jc w:val="center"/>
            </w:pPr>
          </w:p>
          <w:p w:rsidR="00F95921" w:rsidRDefault="00F95921" w:rsidP="00885B05">
            <w:pPr>
              <w:jc w:val="center"/>
            </w:pPr>
            <w:r>
              <w:t>1,259</w:t>
            </w:r>
          </w:p>
        </w:tc>
        <w:tc>
          <w:tcPr>
            <w:tcW w:w="1873" w:type="dxa"/>
          </w:tcPr>
          <w:p w:rsidR="00F95921" w:rsidRDefault="00F95921" w:rsidP="00885B05">
            <w:pPr>
              <w:jc w:val="center"/>
            </w:pPr>
            <w:r>
              <w:t xml:space="preserve">  4,37</w:t>
            </w:r>
          </w:p>
          <w:p w:rsidR="00F95921" w:rsidRDefault="00F95921" w:rsidP="00885B05">
            <w:pPr>
              <w:jc w:val="center"/>
            </w:pPr>
            <w:r>
              <w:t xml:space="preserve">  2,22</w:t>
            </w:r>
          </w:p>
          <w:p w:rsidR="00F95921" w:rsidRDefault="00F95921" w:rsidP="00885B05">
            <w:pPr>
              <w:jc w:val="center"/>
            </w:pPr>
            <w:r>
              <w:t>20,33</w:t>
            </w:r>
          </w:p>
          <w:p w:rsidR="00F95921" w:rsidRDefault="00F95921" w:rsidP="00885B05">
            <w:pPr>
              <w:jc w:val="center"/>
            </w:pPr>
            <w:r>
              <w:t>11,44</w:t>
            </w:r>
          </w:p>
          <w:p w:rsidR="00F95921" w:rsidRDefault="00F95921" w:rsidP="00885B05">
            <w:pPr>
              <w:jc w:val="center"/>
            </w:pPr>
          </w:p>
          <w:p w:rsidR="00F95921" w:rsidRDefault="00F95921" w:rsidP="00885B05">
            <w:pPr>
              <w:jc w:val="center"/>
            </w:pPr>
            <w:r>
              <w:t xml:space="preserve">  3,42</w:t>
            </w:r>
          </w:p>
          <w:p w:rsidR="00F95921" w:rsidRDefault="00F95921" w:rsidP="00885B05">
            <w:pPr>
              <w:jc w:val="center"/>
            </w:pPr>
            <w:r>
              <w:t>11,99</w:t>
            </w:r>
          </w:p>
          <w:p w:rsidR="00F95921" w:rsidRDefault="00F95921" w:rsidP="00885B05">
            <w:pPr>
              <w:jc w:val="center"/>
            </w:pPr>
          </w:p>
          <w:p w:rsidR="00F95921" w:rsidRDefault="00F95921" w:rsidP="00885B05">
            <w:pPr>
              <w:jc w:val="center"/>
            </w:pPr>
            <w:r>
              <w:t xml:space="preserve">  8,10</w:t>
            </w:r>
          </w:p>
          <w:p w:rsidR="00F95921" w:rsidRDefault="00F95921" w:rsidP="00885B05">
            <w:pPr>
              <w:jc w:val="center"/>
            </w:pPr>
            <w:r>
              <w:t>24,54</w:t>
            </w:r>
          </w:p>
          <w:p w:rsidR="00F95921" w:rsidRDefault="00F95921" w:rsidP="00885B05">
            <w:pPr>
              <w:jc w:val="center"/>
            </w:pPr>
          </w:p>
          <w:p w:rsidR="00F95921" w:rsidRDefault="00F95921" w:rsidP="00885B05">
            <w:pPr>
              <w:jc w:val="center"/>
            </w:pPr>
            <w:r>
              <w:t xml:space="preserve">  3,57</w:t>
            </w:r>
          </w:p>
          <w:p w:rsidR="00F95921" w:rsidRDefault="00F95921" w:rsidP="00885B05">
            <w:pPr>
              <w:jc w:val="center"/>
            </w:pPr>
            <w:r>
              <w:t>10,01</w:t>
            </w:r>
          </w:p>
          <w:p w:rsidR="00F95921" w:rsidRDefault="00F95921" w:rsidP="00885B05">
            <w:pPr>
              <w:jc w:val="center"/>
            </w:pPr>
          </w:p>
          <w:p w:rsidR="00F95921" w:rsidRDefault="00F95921" w:rsidP="00885B05">
            <w:pPr>
              <w:jc w:val="center"/>
            </w:pPr>
            <w:r>
              <w:t>100</w:t>
            </w:r>
          </w:p>
        </w:tc>
      </w:tr>
    </w:tbl>
    <w:p w:rsidR="00F95921" w:rsidRDefault="00F95921" w:rsidP="00F95921"/>
    <w:p w:rsidR="007D3B8D" w:rsidRDefault="00F95921" w:rsidP="00F95921">
      <w:r>
        <w:t>El Cuadr</w:t>
      </w:r>
      <w:r w:rsidR="00562BAE">
        <w:t>o 1 sugiere tre</w:t>
      </w:r>
      <w:r>
        <w:t xml:space="preserve">s observaciones importantes. Primero, </w:t>
      </w:r>
      <w:r w:rsidR="00562BAE">
        <w:t>todos los temas han s</w:t>
      </w:r>
      <w:r w:rsidR="00562BAE">
        <w:t>i</w:t>
      </w:r>
      <w:r w:rsidR="00562BAE">
        <w:t xml:space="preserve">do ampliamente tratados. Segundo, </w:t>
      </w:r>
      <w:r>
        <w:t>hay dos temas que reúnen la mayor cantidad de trabajos (el 45% entre ambos), son H2: Impuestos y subsidios y H7: Relaciones fisc</w:t>
      </w:r>
      <w:r>
        <w:t>a</w:t>
      </w:r>
      <w:r>
        <w:t xml:space="preserve">les intergubernamentales. Otros tres contienen el 30%, son H3: políticas fiscales, H5 gastos públicos nacionales y H6: presupuesto nacional déficit y deuda. La </w:t>
      </w:r>
      <w:r w:rsidR="00562BAE">
        <w:t xml:space="preserve">tercera </w:t>
      </w:r>
      <w:r>
        <w:t>o</w:t>
      </w:r>
      <w:r>
        <w:t>b</w:t>
      </w:r>
      <w:r>
        <w:t>servación se refiere a las dificultades de la clasificación. ¿Los subsidios de H2 no son parte de los gastos públicos de H5?</w:t>
      </w:r>
      <w:r w:rsidR="0003272D">
        <w:t xml:space="preserve"> ¿Las políticas fiscales de H3 s</w:t>
      </w:r>
      <w:r>
        <w:t xml:space="preserve">on distintas de las políticas vinculadas al gasto del gobierno nacional de H5 o a las relacionadas con el </w:t>
      </w:r>
      <w:r>
        <w:lastRenderedPageBreak/>
        <w:t>déficit y la deuda de H6?</w:t>
      </w:r>
      <w:r w:rsidR="007D3B8D">
        <w:t xml:space="preserve"> De todos modos, la primera observación indica la prevalencia de temas impositivos y de relaciones intergubernamentales, cuestión sobre la que v</w:t>
      </w:r>
      <w:r w:rsidR="007D3B8D">
        <w:t>a</w:t>
      </w:r>
      <w:r w:rsidR="007D3B8D">
        <w:t>mos a volver.</w:t>
      </w:r>
    </w:p>
    <w:p w:rsidR="007D3B8D" w:rsidRDefault="007D3B8D" w:rsidP="00F95921">
      <w:r>
        <w:t>Un intento de superar las dificultades de la clasificación JEL consiste en utilizar los cr</w:t>
      </w:r>
      <w:r>
        <w:t>i</w:t>
      </w:r>
      <w:r>
        <w:t>terios que se siguen para agrupar los temas en los cursos universitarios y se utilizan en los principales Manuales sobre la materia. En el 4º Encuentro de Profesores de F</w:t>
      </w:r>
      <w:r>
        <w:t>i</w:t>
      </w:r>
      <w:r>
        <w:t xml:space="preserve">nanzas Públicas, Derecho </w:t>
      </w:r>
      <w:r w:rsidR="006F4434">
        <w:t xml:space="preserve">Financiero y </w:t>
      </w:r>
      <w:r>
        <w:t>Tributario</w:t>
      </w:r>
      <w:r w:rsidR="006F4434">
        <w:t xml:space="preserve"> y Teoría y Técnica Impositiva, org</w:t>
      </w:r>
      <w:r w:rsidR="006F4434">
        <w:t>a</w:t>
      </w:r>
      <w:r w:rsidR="006F4434">
        <w:t>nizado por la Asociación Argentina de Estudios Fiscales en Buenos Aires 2012, se examinaron 25 programas de Finanzas Públicas de Universidades Nacionales y con</w:t>
      </w:r>
      <w:r w:rsidR="006F4434">
        <w:t>s</w:t>
      </w:r>
      <w:r w:rsidR="006F4434">
        <w:t xml:space="preserve">tató la existencia de una estructura básica de los mismos. Dado que esa estructura ha sido elaborada con la finalidad de una mejor enseñanza de las cuestiones fiscales muestra una mayor consistencia para exponer la clasificación de temas. </w:t>
      </w:r>
      <w:r w:rsidR="00135C0E">
        <w:t>Los result</w:t>
      </w:r>
      <w:r w:rsidR="00135C0E">
        <w:t>a</w:t>
      </w:r>
      <w:r w:rsidR="00135C0E">
        <w:t>dos de esta clasificación se presentan en el Cuadro 2</w:t>
      </w:r>
    </w:p>
    <w:p w:rsidR="00135C0E" w:rsidRPr="00C3706F" w:rsidRDefault="00135C0E" w:rsidP="00135C0E">
      <w:pPr>
        <w:spacing w:after="0"/>
        <w:jc w:val="center"/>
        <w:rPr>
          <w:b/>
        </w:rPr>
      </w:pPr>
      <w:r>
        <w:rPr>
          <w:b/>
        </w:rPr>
        <w:t>Cuadro 2</w:t>
      </w:r>
    </w:p>
    <w:p w:rsidR="00135C0E" w:rsidRDefault="00135C0E" w:rsidP="00135C0E">
      <w:pPr>
        <w:spacing w:after="0"/>
        <w:jc w:val="center"/>
        <w:rPr>
          <w:b/>
        </w:rPr>
      </w:pPr>
      <w:r w:rsidRPr="00C3706F">
        <w:rPr>
          <w:b/>
        </w:rPr>
        <w:t>Clasificación de los Trabajos</w:t>
      </w:r>
      <w:r>
        <w:rPr>
          <w:b/>
        </w:rPr>
        <w:t xml:space="preserve"> según el criterio</w:t>
      </w:r>
    </w:p>
    <w:p w:rsidR="00135C0E" w:rsidRPr="00C3706F" w:rsidRDefault="00135C0E" w:rsidP="00135C0E">
      <w:pPr>
        <w:jc w:val="center"/>
        <w:rPr>
          <w:b/>
        </w:rPr>
      </w:pPr>
      <w:proofErr w:type="gramStart"/>
      <w:r>
        <w:rPr>
          <w:b/>
        </w:rPr>
        <w:t>de</w:t>
      </w:r>
      <w:proofErr w:type="gramEnd"/>
      <w:r>
        <w:rPr>
          <w:b/>
        </w:rPr>
        <w:t xml:space="preserve"> los programas de Finanzas Públicas</w:t>
      </w:r>
    </w:p>
    <w:tbl>
      <w:tblPr>
        <w:tblStyle w:val="Tablaconcuadrcula"/>
        <w:tblW w:w="0" w:type="auto"/>
        <w:tblLook w:val="04A0" w:firstRow="1" w:lastRow="0" w:firstColumn="1" w:lastColumn="0" w:noHBand="0" w:noVBand="1"/>
      </w:tblPr>
      <w:tblGrid>
        <w:gridCol w:w="817"/>
        <w:gridCol w:w="4111"/>
        <w:gridCol w:w="1843"/>
        <w:gridCol w:w="1873"/>
      </w:tblGrid>
      <w:tr w:rsidR="00135C0E" w:rsidTr="00885B05">
        <w:tc>
          <w:tcPr>
            <w:tcW w:w="817" w:type="dxa"/>
            <w:vMerge w:val="restart"/>
            <w:tcBorders>
              <w:top w:val="nil"/>
              <w:left w:val="nil"/>
              <w:right w:val="nil"/>
            </w:tcBorders>
          </w:tcPr>
          <w:p w:rsidR="00135C0E" w:rsidRDefault="00135C0E" w:rsidP="00885B05"/>
        </w:tc>
        <w:tc>
          <w:tcPr>
            <w:tcW w:w="4111" w:type="dxa"/>
            <w:vMerge w:val="restart"/>
            <w:tcBorders>
              <w:top w:val="nil"/>
              <w:left w:val="nil"/>
            </w:tcBorders>
          </w:tcPr>
          <w:p w:rsidR="00135C0E" w:rsidRDefault="00135C0E" w:rsidP="00885B05">
            <w:pPr>
              <w:jc w:val="center"/>
            </w:pPr>
          </w:p>
          <w:p w:rsidR="00135C0E" w:rsidRDefault="00135C0E" w:rsidP="00885B05">
            <w:pPr>
              <w:jc w:val="center"/>
            </w:pPr>
            <w:r>
              <w:t>Temas Contenidos</w:t>
            </w:r>
          </w:p>
        </w:tc>
        <w:tc>
          <w:tcPr>
            <w:tcW w:w="3716" w:type="dxa"/>
            <w:gridSpan w:val="2"/>
          </w:tcPr>
          <w:p w:rsidR="00135C0E" w:rsidRDefault="00135C0E" w:rsidP="00885B05">
            <w:pPr>
              <w:jc w:val="center"/>
            </w:pPr>
            <w:r>
              <w:t>Trabajos presentados 1968-2016</w:t>
            </w:r>
          </w:p>
        </w:tc>
      </w:tr>
      <w:tr w:rsidR="00135C0E" w:rsidTr="00885B05">
        <w:tc>
          <w:tcPr>
            <w:tcW w:w="817" w:type="dxa"/>
            <w:vMerge/>
            <w:tcBorders>
              <w:left w:val="nil"/>
              <w:right w:val="nil"/>
            </w:tcBorders>
          </w:tcPr>
          <w:p w:rsidR="00135C0E" w:rsidRDefault="00135C0E" w:rsidP="00885B05"/>
        </w:tc>
        <w:tc>
          <w:tcPr>
            <w:tcW w:w="4111" w:type="dxa"/>
            <w:vMerge/>
            <w:tcBorders>
              <w:left w:val="nil"/>
            </w:tcBorders>
          </w:tcPr>
          <w:p w:rsidR="00135C0E" w:rsidRDefault="00135C0E" w:rsidP="00885B05"/>
        </w:tc>
        <w:tc>
          <w:tcPr>
            <w:tcW w:w="1843" w:type="dxa"/>
          </w:tcPr>
          <w:p w:rsidR="00135C0E" w:rsidRDefault="00135C0E" w:rsidP="00885B05">
            <w:pPr>
              <w:jc w:val="center"/>
            </w:pPr>
            <w:r>
              <w:t>Número</w:t>
            </w:r>
          </w:p>
        </w:tc>
        <w:tc>
          <w:tcPr>
            <w:tcW w:w="1873" w:type="dxa"/>
          </w:tcPr>
          <w:p w:rsidR="00135C0E" w:rsidRDefault="00135C0E" w:rsidP="00885B05">
            <w:pPr>
              <w:jc w:val="center"/>
            </w:pPr>
            <w:r>
              <w:t>Porcentaje</w:t>
            </w:r>
          </w:p>
        </w:tc>
      </w:tr>
      <w:tr w:rsidR="00135C0E" w:rsidTr="00885B05">
        <w:tc>
          <w:tcPr>
            <w:tcW w:w="4928" w:type="dxa"/>
            <w:gridSpan w:val="2"/>
          </w:tcPr>
          <w:p w:rsidR="00433A60" w:rsidRDefault="00433A60" w:rsidP="00135C0E">
            <w:r>
              <w:t>I. Intro</w:t>
            </w:r>
            <w:r w:rsidR="00135C0E">
              <w:t>d</w:t>
            </w:r>
            <w:r>
              <w:t>u</w:t>
            </w:r>
            <w:r w:rsidR="00135C0E">
              <w:t>cción, aspectos generales, funciones</w:t>
            </w:r>
          </w:p>
          <w:p w:rsidR="00135C0E" w:rsidRDefault="00433A60" w:rsidP="00135C0E">
            <w:r>
              <w:t xml:space="preserve">  </w:t>
            </w:r>
            <w:r w:rsidR="00135C0E">
              <w:t xml:space="preserve"> del estado</w:t>
            </w:r>
          </w:p>
          <w:p w:rsidR="00433A60" w:rsidRDefault="00433A60" w:rsidP="00135C0E">
            <w:r>
              <w:t>2. Actividades públicas</w:t>
            </w:r>
          </w:p>
          <w:p w:rsidR="00433A60" w:rsidRDefault="00433A60" w:rsidP="00135C0E">
            <w:r>
              <w:t xml:space="preserve">    Gasto público</w:t>
            </w:r>
          </w:p>
          <w:p w:rsidR="00433A60" w:rsidRDefault="00433A60" w:rsidP="00135C0E">
            <w:r>
              <w:t xml:space="preserve">    Presupuesto y gestión</w:t>
            </w:r>
          </w:p>
          <w:p w:rsidR="00433A60" w:rsidRDefault="00433A60" w:rsidP="00135C0E">
            <w:r>
              <w:t>3. Tributación</w:t>
            </w:r>
          </w:p>
          <w:p w:rsidR="00433A60" w:rsidRDefault="00433A60" w:rsidP="00135C0E">
            <w:r>
              <w:t xml:space="preserve">    Teoría positiva</w:t>
            </w:r>
          </w:p>
          <w:p w:rsidR="00433A60" w:rsidRDefault="00433A60" w:rsidP="00135C0E">
            <w:r>
              <w:t xml:space="preserve">    Teoría normativa</w:t>
            </w:r>
          </w:p>
          <w:p w:rsidR="00433A60" w:rsidRDefault="00433A60" w:rsidP="00135C0E">
            <w:r>
              <w:t xml:space="preserve">    Impuestos en particular</w:t>
            </w:r>
          </w:p>
          <w:p w:rsidR="00433A60" w:rsidRDefault="00433A60" w:rsidP="00135C0E">
            <w:r>
              <w:t xml:space="preserve">    Otros ingresos</w:t>
            </w:r>
          </w:p>
          <w:p w:rsidR="00433A60" w:rsidRDefault="00433A60" w:rsidP="00135C0E">
            <w:r>
              <w:t xml:space="preserve">    Seguridad social</w:t>
            </w:r>
          </w:p>
          <w:p w:rsidR="00433A60" w:rsidRDefault="00433A60" w:rsidP="00433A60">
            <w:r>
              <w:t xml:space="preserve">    Sistema tributario y reformas</w:t>
            </w:r>
          </w:p>
          <w:p w:rsidR="00F41250" w:rsidRDefault="00433A60" w:rsidP="00135C0E">
            <w:r>
              <w:t xml:space="preserve">4. </w:t>
            </w:r>
            <w:r w:rsidR="00F41250">
              <w:t>Macroeconomía fiscal</w:t>
            </w:r>
          </w:p>
          <w:p w:rsidR="00433A60" w:rsidRDefault="00F41250" w:rsidP="00135C0E">
            <w:r>
              <w:t xml:space="preserve">    </w:t>
            </w:r>
            <w:r w:rsidR="00433A60">
              <w:t>Resultados fiscal y deuda pública</w:t>
            </w:r>
          </w:p>
          <w:p w:rsidR="00433A60" w:rsidRDefault="00F41250" w:rsidP="00135C0E">
            <w:r>
              <w:t xml:space="preserve">    </w:t>
            </w:r>
            <w:r w:rsidR="00433A60">
              <w:t xml:space="preserve">Política fiscal </w:t>
            </w:r>
          </w:p>
          <w:p w:rsidR="00433A60" w:rsidRDefault="00F41250" w:rsidP="00135C0E">
            <w:r>
              <w:t>5</w:t>
            </w:r>
            <w:r w:rsidR="00433A60">
              <w:t>. Relaciones fiscales intergubernamentales</w:t>
            </w:r>
          </w:p>
          <w:p w:rsidR="00681B59" w:rsidRDefault="00681B59" w:rsidP="00681B59">
            <w:pPr>
              <w:jc w:val="right"/>
            </w:pPr>
            <w:r>
              <w:t>Totales</w:t>
            </w:r>
          </w:p>
        </w:tc>
        <w:tc>
          <w:tcPr>
            <w:tcW w:w="1843" w:type="dxa"/>
          </w:tcPr>
          <w:p w:rsidR="00135C0E" w:rsidRDefault="00433A60" w:rsidP="00135C0E">
            <w:r>
              <w:t xml:space="preserve"> </w:t>
            </w:r>
            <w:r w:rsidR="00681B59">
              <w:t xml:space="preserve">    70</w:t>
            </w:r>
            <w:r>
              <w:t xml:space="preserve">       </w:t>
            </w:r>
            <w:r w:rsidR="00681B59">
              <w:t xml:space="preserve">  </w:t>
            </w:r>
            <w:r>
              <w:t>70</w:t>
            </w:r>
          </w:p>
          <w:p w:rsidR="00433A60" w:rsidRDefault="00433A60" w:rsidP="00135C0E"/>
          <w:p w:rsidR="00681B59" w:rsidRDefault="00681B59" w:rsidP="00135C0E">
            <w:r>
              <w:t xml:space="preserve">                 291</w:t>
            </w:r>
          </w:p>
          <w:p w:rsidR="00433A60" w:rsidRDefault="00681B59" w:rsidP="00135C0E">
            <w:r>
              <w:t xml:space="preserve">      93</w:t>
            </w:r>
          </w:p>
          <w:p w:rsidR="00681B59" w:rsidRDefault="00681B59" w:rsidP="00681B59">
            <w:r>
              <w:t xml:space="preserve">    198</w:t>
            </w:r>
          </w:p>
          <w:p w:rsidR="00681B59" w:rsidRDefault="00681B59" w:rsidP="00681B59">
            <w:r>
              <w:t xml:space="preserve">                313</w:t>
            </w:r>
          </w:p>
          <w:p w:rsidR="00681B59" w:rsidRDefault="00681B59" w:rsidP="00681B59">
            <w:r>
              <w:t xml:space="preserve">    105</w:t>
            </w:r>
          </w:p>
          <w:p w:rsidR="00681B59" w:rsidRDefault="00681B59" w:rsidP="00681B59">
            <w:r>
              <w:t xml:space="preserve">      36</w:t>
            </w:r>
          </w:p>
          <w:p w:rsidR="00681B59" w:rsidRDefault="00681B59" w:rsidP="00681B59">
            <w:r>
              <w:t xml:space="preserve">      72</w:t>
            </w:r>
          </w:p>
          <w:p w:rsidR="00681B59" w:rsidRDefault="00681B59" w:rsidP="00681B59">
            <w:r>
              <w:t xml:space="preserve">      22</w:t>
            </w:r>
          </w:p>
          <w:p w:rsidR="00681B59" w:rsidRDefault="00681B59" w:rsidP="00681B59">
            <w:r>
              <w:t xml:space="preserve">      38</w:t>
            </w:r>
          </w:p>
          <w:p w:rsidR="00681B59" w:rsidRDefault="00681B59" w:rsidP="00681B59">
            <w:r>
              <w:t xml:space="preserve">      40</w:t>
            </w:r>
          </w:p>
          <w:p w:rsidR="00681B59" w:rsidRDefault="00681B59" w:rsidP="00681B59">
            <w:r>
              <w:t xml:space="preserve">                220</w:t>
            </w:r>
          </w:p>
          <w:p w:rsidR="00681B59" w:rsidRDefault="00681B59" w:rsidP="00681B59">
            <w:r>
              <w:t xml:space="preserve">      71</w:t>
            </w:r>
          </w:p>
          <w:p w:rsidR="00681B59" w:rsidRDefault="00681B59" w:rsidP="00681B59">
            <w:r>
              <w:t xml:space="preserve">    149</w:t>
            </w:r>
          </w:p>
          <w:p w:rsidR="00681B59" w:rsidRDefault="00681B59" w:rsidP="00681B59">
            <w:r>
              <w:t xml:space="preserve">    365      365</w:t>
            </w:r>
          </w:p>
          <w:p w:rsidR="00681B59" w:rsidRDefault="00681B59" w:rsidP="00681B59">
            <w:r>
              <w:t xml:space="preserve"> 1.259   1.259</w:t>
            </w:r>
          </w:p>
        </w:tc>
        <w:tc>
          <w:tcPr>
            <w:tcW w:w="1873" w:type="dxa"/>
          </w:tcPr>
          <w:p w:rsidR="00135C0E" w:rsidRDefault="00681B59" w:rsidP="00135C0E">
            <w:r>
              <w:t xml:space="preserve">    5,56      </w:t>
            </w:r>
            <w:r w:rsidR="00053EFA">
              <w:t xml:space="preserve"> </w:t>
            </w:r>
            <w:r>
              <w:t>5,56</w:t>
            </w:r>
          </w:p>
          <w:p w:rsidR="00681B59" w:rsidRDefault="00681B59" w:rsidP="00135C0E"/>
          <w:p w:rsidR="00681B59" w:rsidRDefault="00681B59" w:rsidP="00135C0E">
            <w:r>
              <w:t xml:space="preserve">               </w:t>
            </w:r>
            <w:r w:rsidR="00053EFA">
              <w:t xml:space="preserve"> </w:t>
            </w:r>
            <w:r>
              <w:t>23,11</w:t>
            </w:r>
          </w:p>
          <w:p w:rsidR="00053EFA" w:rsidRDefault="00053EFA" w:rsidP="00135C0E">
            <w:r>
              <w:t xml:space="preserve">    7,39</w:t>
            </w:r>
          </w:p>
          <w:p w:rsidR="00053EFA" w:rsidRDefault="00053EFA" w:rsidP="00053EFA">
            <w:r>
              <w:t xml:space="preserve">  15,73 </w:t>
            </w:r>
          </w:p>
          <w:p w:rsidR="00053EFA" w:rsidRDefault="00053EFA" w:rsidP="00053EFA">
            <w:r>
              <w:t xml:space="preserve">                24,86</w:t>
            </w:r>
          </w:p>
          <w:p w:rsidR="00053EFA" w:rsidRDefault="00053EFA" w:rsidP="00053EFA">
            <w:r>
              <w:t xml:space="preserve">    8,34</w:t>
            </w:r>
          </w:p>
          <w:p w:rsidR="00053EFA" w:rsidRDefault="00053EFA" w:rsidP="00053EFA">
            <w:r>
              <w:t xml:space="preserve">    2,86</w:t>
            </w:r>
          </w:p>
          <w:p w:rsidR="00053EFA" w:rsidRDefault="00053EFA" w:rsidP="00053EFA">
            <w:r>
              <w:t xml:space="preserve">    5,72</w:t>
            </w:r>
          </w:p>
          <w:p w:rsidR="00053EFA" w:rsidRDefault="00053EFA" w:rsidP="00053EFA">
            <w:r>
              <w:t xml:space="preserve">    1,75</w:t>
            </w:r>
          </w:p>
          <w:p w:rsidR="00053EFA" w:rsidRDefault="00053EFA" w:rsidP="00053EFA">
            <w:r>
              <w:t xml:space="preserve">    3,02</w:t>
            </w:r>
          </w:p>
          <w:p w:rsidR="00053EFA" w:rsidRDefault="00053EFA" w:rsidP="00053EFA">
            <w:r>
              <w:t xml:space="preserve">    3,18</w:t>
            </w:r>
          </w:p>
          <w:p w:rsidR="00053EFA" w:rsidRDefault="00053EFA" w:rsidP="00053EFA">
            <w:r>
              <w:t xml:space="preserve">                17,47</w:t>
            </w:r>
          </w:p>
          <w:p w:rsidR="00053EFA" w:rsidRDefault="00053EFA" w:rsidP="00053EFA">
            <w:r>
              <w:t xml:space="preserve">    5,64</w:t>
            </w:r>
          </w:p>
          <w:p w:rsidR="00053EFA" w:rsidRDefault="00053EFA" w:rsidP="00053EFA">
            <w:r>
              <w:t xml:space="preserve">  11,83</w:t>
            </w:r>
          </w:p>
          <w:p w:rsidR="00053EFA" w:rsidRDefault="00053EFA" w:rsidP="00053EFA">
            <w:r>
              <w:t xml:space="preserve">  28,99     28,99</w:t>
            </w:r>
          </w:p>
          <w:p w:rsidR="00053EFA" w:rsidRDefault="00053EFA" w:rsidP="00053EFA">
            <w:r>
              <w:t xml:space="preserve">    100        100</w:t>
            </w:r>
          </w:p>
        </w:tc>
      </w:tr>
    </w:tbl>
    <w:p w:rsidR="00135C0E" w:rsidRDefault="00135C0E" w:rsidP="00135C0E"/>
    <w:p w:rsidR="00135C0E" w:rsidRDefault="00053EFA" w:rsidP="00053EFA">
      <w:pPr>
        <w:spacing w:after="0"/>
      </w:pPr>
      <w:r>
        <w:t>Los resultados que muestra el Cuadro 2 confirman las observaciones anteriores y agregan información:</w:t>
      </w:r>
    </w:p>
    <w:p w:rsidR="00053EFA" w:rsidRDefault="00053EFA" w:rsidP="00053EFA">
      <w:pPr>
        <w:pStyle w:val="Prrafodelista"/>
        <w:numPr>
          <w:ilvl w:val="0"/>
          <w:numId w:val="1"/>
        </w:numPr>
        <w:spacing w:after="0"/>
      </w:pPr>
      <w:r>
        <w:t>Las relaciones fiscales intergubernamentales son el tema más tratado en la Jornadas</w:t>
      </w:r>
    </w:p>
    <w:p w:rsidR="00053EFA" w:rsidRDefault="00053EFA" w:rsidP="00053EFA">
      <w:pPr>
        <w:pStyle w:val="Prrafodelista"/>
        <w:numPr>
          <w:ilvl w:val="0"/>
          <w:numId w:val="1"/>
        </w:numPr>
        <w:spacing w:after="0"/>
      </w:pPr>
      <w:r>
        <w:t>Los temas impositivos reúnen la cuarta parte de los trabajos expuestos: Casi la mitad de ellos se refieren a la teoría positiva o normativa y el resto se distribuye en cuestiones específicas. Entre las mismas se destacan la seguridad social y la reforma tributaria.</w:t>
      </w:r>
      <w:r w:rsidR="009F3FA1">
        <w:t xml:space="preserve"> La distribuc</w:t>
      </w:r>
      <w:r w:rsidR="00546D1A">
        <w:t>ión temporal de estos dos último</w:t>
      </w:r>
      <w:r w:rsidR="009F3FA1">
        <w:t>s temas es i</w:t>
      </w:r>
      <w:r w:rsidR="009F3FA1">
        <w:t>n</w:t>
      </w:r>
      <w:r w:rsidR="009F3FA1">
        <w:t>teresante: se concentran en determinados años, seguramente alentados por el debate público del momento.</w:t>
      </w:r>
    </w:p>
    <w:p w:rsidR="00053EFA" w:rsidRDefault="00053EFA" w:rsidP="00053EFA">
      <w:pPr>
        <w:pStyle w:val="Prrafodelista"/>
        <w:numPr>
          <w:ilvl w:val="0"/>
          <w:numId w:val="1"/>
        </w:numPr>
        <w:spacing w:after="0"/>
      </w:pPr>
      <w:r>
        <w:t>Las actividades públicas han inspirado casi otra cuarta parte de los artículos expuestos</w:t>
      </w:r>
    </w:p>
    <w:p w:rsidR="00053EFA" w:rsidRDefault="009F3FA1" w:rsidP="009F3FA1">
      <w:pPr>
        <w:pStyle w:val="Prrafodelista"/>
        <w:numPr>
          <w:ilvl w:val="0"/>
          <w:numId w:val="1"/>
        </w:numPr>
      </w:pPr>
      <w:r>
        <w:t>La macroeconomía fiscal se está convirtiendo en un tema cada vez más trat</w:t>
      </w:r>
      <w:r>
        <w:t>a</w:t>
      </w:r>
      <w:r>
        <w:t>do. Su participación relativa ha crecido significativamente en los últimos años.</w:t>
      </w:r>
    </w:p>
    <w:p w:rsidR="009F3FA1" w:rsidRDefault="009F3FA1" w:rsidP="009F3FA1">
      <w:r>
        <w:t>El detalle anual de las clasificaciones presentadas se encuentra en los Anexos corre</w:t>
      </w:r>
      <w:r>
        <w:t>s</w:t>
      </w:r>
      <w:r>
        <w:t>pondientes</w:t>
      </w:r>
      <w:r w:rsidR="00046B6F">
        <w:t>.</w:t>
      </w:r>
    </w:p>
    <w:p w:rsidR="00914D2A" w:rsidRDefault="00914D2A" w:rsidP="00914D2A">
      <w:pPr>
        <w:spacing w:after="0"/>
      </w:pPr>
      <w:r>
        <w:rPr>
          <w:b/>
        </w:rPr>
        <w:lastRenderedPageBreak/>
        <w:t>2.2 Los temarios de las Jornadas</w:t>
      </w:r>
    </w:p>
    <w:p w:rsidR="00962FCA" w:rsidRPr="00C3706F" w:rsidRDefault="00962FCA" w:rsidP="00962FCA">
      <w:pPr>
        <w:spacing w:after="0"/>
        <w:jc w:val="center"/>
        <w:rPr>
          <w:b/>
        </w:rPr>
      </w:pPr>
      <w:r>
        <w:rPr>
          <w:b/>
        </w:rPr>
        <w:t>Cuadro 3</w:t>
      </w:r>
    </w:p>
    <w:p w:rsidR="00962FCA" w:rsidRDefault="00962FCA" w:rsidP="00962FCA">
      <w:pPr>
        <w:spacing w:after="0"/>
        <w:jc w:val="center"/>
        <w:rPr>
          <w:b/>
        </w:rPr>
      </w:pPr>
      <w:r w:rsidRPr="00C3706F">
        <w:rPr>
          <w:b/>
        </w:rPr>
        <w:t xml:space="preserve">Clasificación </w:t>
      </w:r>
      <w:r>
        <w:rPr>
          <w:b/>
        </w:rPr>
        <w:t>de los Tem</w:t>
      </w:r>
      <w:r w:rsidR="00562BAE">
        <w:rPr>
          <w:b/>
        </w:rPr>
        <w:t>a</w:t>
      </w:r>
      <w:r>
        <w:rPr>
          <w:b/>
        </w:rPr>
        <w:t>ri</w:t>
      </w:r>
      <w:r w:rsidRPr="00C3706F">
        <w:rPr>
          <w:b/>
        </w:rPr>
        <w:t>os</w:t>
      </w:r>
      <w:r>
        <w:rPr>
          <w:b/>
        </w:rPr>
        <w:t xml:space="preserve"> según el criterio</w:t>
      </w:r>
    </w:p>
    <w:p w:rsidR="00962FCA" w:rsidRPr="00C3706F" w:rsidRDefault="00962FCA" w:rsidP="00962FCA">
      <w:pPr>
        <w:jc w:val="center"/>
        <w:rPr>
          <w:b/>
        </w:rPr>
      </w:pPr>
      <w:proofErr w:type="gramStart"/>
      <w:r>
        <w:rPr>
          <w:b/>
        </w:rPr>
        <w:t>de</w:t>
      </w:r>
      <w:proofErr w:type="gramEnd"/>
      <w:r>
        <w:rPr>
          <w:b/>
        </w:rPr>
        <w:t xml:space="preserve"> los programas de Finanzas Públicas</w:t>
      </w:r>
    </w:p>
    <w:tbl>
      <w:tblPr>
        <w:tblStyle w:val="Tablaconcuadrcula"/>
        <w:tblW w:w="0" w:type="auto"/>
        <w:tblLook w:val="04A0" w:firstRow="1" w:lastRow="0" w:firstColumn="1" w:lastColumn="0" w:noHBand="0" w:noVBand="1"/>
      </w:tblPr>
      <w:tblGrid>
        <w:gridCol w:w="817"/>
        <w:gridCol w:w="4111"/>
        <w:gridCol w:w="1843"/>
        <w:gridCol w:w="1873"/>
      </w:tblGrid>
      <w:tr w:rsidR="00962FCA" w:rsidTr="00885B05">
        <w:tc>
          <w:tcPr>
            <w:tcW w:w="817" w:type="dxa"/>
            <w:vMerge w:val="restart"/>
            <w:tcBorders>
              <w:top w:val="nil"/>
              <w:left w:val="nil"/>
              <w:right w:val="nil"/>
            </w:tcBorders>
          </w:tcPr>
          <w:p w:rsidR="00962FCA" w:rsidRDefault="00962FCA" w:rsidP="00885B05"/>
        </w:tc>
        <w:tc>
          <w:tcPr>
            <w:tcW w:w="4111" w:type="dxa"/>
            <w:vMerge w:val="restart"/>
            <w:tcBorders>
              <w:top w:val="nil"/>
              <w:left w:val="nil"/>
            </w:tcBorders>
          </w:tcPr>
          <w:p w:rsidR="00962FCA" w:rsidRDefault="00962FCA" w:rsidP="00885B05">
            <w:pPr>
              <w:jc w:val="center"/>
            </w:pPr>
          </w:p>
          <w:p w:rsidR="00962FCA" w:rsidRDefault="00962FCA" w:rsidP="00885B05">
            <w:pPr>
              <w:jc w:val="center"/>
            </w:pPr>
            <w:r>
              <w:t>Temas Contenidos</w:t>
            </w:r>
          </w:p>
        </w:tc>
        <w:tc>
          <w:tcPr>
            <w:tcW w:w="3716" w:type="dxa"/>
            <w:gridSpan w:val="2"/>
          </w:tcPr>
          <w:p w:rsidR="00962FCA" w:rsidRDefault="00962FCA" w:rsidP="00885B05">
            <w:pPr>
              <w:jc w:val="center"/>
            </w:pPr>
            <w:r>
              <w:t>Trabajos presentados 1968-2016</w:t>
            </w:r>
          </w:p>
        </w:tc>
      </w:tr>
      <w:tr w:rsidR="00962FCA" w:rsidTr="00885B05">
        <w:tc>
          <w:tcPr>
            <w:tcW w:w="817" w:type="dxa"/>
            <w:vMerge/>
            <w:tcBorders>
              <w:left w:val="nil"/>
              <w:right w:val="nil"/>
            </w:tcBorders>
          </w:tcPr>
          <w:p w:rsidR="00962FCA" w:rsidRDefault="00962FCA" w:rsidP="00885B05"/>
        </w:tc>
        <w:tc>
          <w:tcPr>
            <w:tcW w:w="4111" w:type="dxa"/>
            <w:vMerge/>
            <w:tcBorders>
              <w:left w:val="nil"/>
            </w:tcBorders>
          </w:tcPr>
          <w:p w:rsidR="00962FCA" w:rsidRDefault="00962FCA" w:rsidP="00885B05"/>
        </w:tc>
        <w:tc>
          <w:tcPr>
            <w:tcW w:w="1843" w:type="dxa"/>
          </w:tcPr>
          <w:p w:rsidR="00962FCA" w:rsidRDefault="00962FCA" w:rsidP="00885B05">
            <w:pPr>
              <w:jc w:val="center"/>
            </w:pPr>
            <w:r>
              <w:t>Número</w:t>
            </w:r>
          </w:p>
        </w:tc>
        <w:tc>
          <w:tcPr>
            <w:tcW w:w="1873" w:type="dxa"/>
          </w:tcPr>
          <w:p w:rsidR="00962FCA" w:rsidRDefault="00962FCA" w:rsidP="00885B05">
            <w:pPr>
              <w:jc w:val="center"/>
            </w:pPr>
            <w:r>
              <w:t>Porcentaje</w:t>
            </w:r>
          </w:p>
        </w:tc>
      </w:tr>
      <w:tr w:rsidR="00962FCA" w:rsidTr="00885B05">
        <w:tc>
          <w:tcPr>
            <w:tcW w:w="4928" w:type="dxa"/>
            <w:gridSpan w:val="2"/>
          </w:tcPr>
          <w:p w:rsidR="00962FCA" w:rsidRDefault="00962FCA" w:rsidP="00885B05">
            <w:r>
              <w:t>I. Introducción, aspectos generales, funciones</w:t>
            </w:r>
          </w:p>
          <w:p w:rsidR="00962FCA" w:rsidRDefault="00962FCA" w:rsidP="00885B05">
            <w:r>
              <w:t xml:space="preserve">   del estado</w:t>
            </w:r>
          </w:p>
          <w:p w:rsidR="00962FCA" w:rsidRDefault="00962FCA" w:rsidP="00885B05">
            <w:r>
              <w:t>2. Actividades públicas</w:t>
            </w:r>
          </w:p>
          <w:p w:rsidR="00962FCA" w:rsidRDefault="00962FCA" w:rsidP="00885B05">
            <w:r>
              <w:t xml:space="preserve">    Gasto público</w:t>
            </w:r>
          </w:p>
          <w:p w:rsidR="00962FCA" w:rsidRDefault="00962FCA" w:rsidP="00885B05">
            <w:r>
              <w:t xml:space="preserve">    Presupuesto y gestión</w:t>
            </w:r>
          </w:p>
          <w:p w:rsidR="00962FCA" w:rsidRDefault="00962FCA" w:rsidP="00885B05">
            <w:r>
              <w:t>3. Tributación</w:t>
            </w:r>
          </w:p>
          <w:p w:rsidR="00962FCA" w:rsidRDefault="00962FCA" w:rsidP="00885B05">
            <w:r>
              <w:t xml:space="preserve">    Teoría positiva</w:t>
            </w:r>
          </w:p>
          <w:p w:rsidR="00962FCA" w:rsidRDefault="00962FCA" w:rsidP="00885B05">
            <w:r>
              <w:t xml:space="preserve">    Teoría normativa</w:t>
            </w:r>
          </w:p>
          <w:p w:rsidR="00962FCA" w:rsidRDefault="00962FCA" w:rsidP="00885B05">
            <w:r>
              <w:t xml:space="preserve">    Impuestos en particular</w:t>
            </w:r>
          </w:p>
          <w:p w:rsidR="00962FCA" w:rsidRDefault="00962FCA" w:rsidP="00885B05">
            <w:r>
              <w:t xml:space="preserve">    Otros ingresos</w:t>
            </w:r>
          </w:p>
          <w:p w:rsidR="00962FCA" w:rsidRDefault="00962FCA" w:rsidP="00885B05">
            <w:r>
              <w:t xml:space="preserve">    Seguridad social</w:t>
            </w:r>
          </w:p>
          <w:p w:rsidR="00962FCA" w:rsidRDefault="00962FCA" w:rsidP="00885B05">
            <w:r>
              <w:t xml:space="preserve">    Sistema tributario y reformas</w:t>
            </w:r>
          </w:p>
          <w:p w:rsidR="00962FCA" w:rsidRDefault="00962FCA" w:rsidP="00885B05">
            <w:r>
              <w:t>4. Macroeconomía fiscal</w:t>
            </w:r>
          </w:p>
          <w:p w:rsidR="00962FCA" w:rsidRDefault="00962FCA" w:rsidP="00885B05">
            <w:r>
              <w:t xml:space="preserve">    Resultados fiscal y deuda pública</w:t>
            </w:r>
          </w:p>
          <w:p w:rsidR="00962FCA" w:rsidRDefault="00962FCA" w:rsidP="00885B05">
            <w:r>
              <w:t xml:space="preserve">    Política fiscal </w:t>
            </w:r>
          </w:p>
          <w:p w:rsidR="00962FCA" w:rsidRDefault="00962FCA" w:rsidP="00885B05">
            <w:r>
              <w:t>5. Relaciones fiscales intergubernamentales</w:t>
            </w:r>
          </w:p>
          <w:p w:rsidR="00962FCA" w:rsidRDefault="00962FCA" w:rsidP="00885B05">
            <w:pPr>
              <w:jc w:val="right"/>
            </w:pPr>
            <w:r>
              <w:t>Totales</w:t>
            </w:r>
          </w:p>
        </w:tc>
        <w:tc>
          <w:tcPr>
            <w:tcW w:w="1843" w:type="dxa"/>
          </w:tcPr>
          <w:p w:rsidR="00962FCA" w:rsidRDefault="00962FCA" w:rsidP="00885B05">
            <w:r>
              <w:t xml:space="preserve">     </w:t>
            </w:r>
            <w:r w:rsidR="00562BAE">
              <w:t>13</w:t>
            </w:r>
            <w:r>
              <w:t xml:space="preserve">        </w:t>
            </w:r>
            <w:r w:rsidR="00562BAE">
              <w:t>13</w:t>
            </w:r>
          </w:p>
          <w:p w:rsidR="00962FCA" w:rsidRDefault="00962FCA" w:rsidP="00885B05"/>
          <w:p w:rsidR="00962FCA" w:rsidRDefault="00962FCA" w:rsidP="00885B05">
            <w:r>
              <w:t xml:space="preserve">                 </w:t>
            </w:r>
            <w:r w:rsidR="00562BAE">
              <w:t xml:space="preserve"> </w:t>
            </w:r>
            <w:r>
              <w:t>2</w:t>
            </w:r>
            <w:r w:rsidR="00562BAE">
              <w:t>7</w:t>
            </w:r>
          </w:p>
          <w:p w:rsidR="00962FCA" w:rsidRDefault="00962FCA" w:rsidP="00885B05">
            <w:r>
              <w:t xml:space="preserve">      </w:t>
            </w:r>
          </w:p>
          <w:p w:rsidR="00962FCA" w:rsidRDefault="00962FCA" w:rsidP="00885B05">
            <w:r>
              <w:t xml:space="preserve">    </w:t>
            </w:r>
          </w:p>
          <w:p w:rsidR="00962FCA" w:rsidRDefault="00962FCA" w:rsidP="00885B05">
            <w:r>
              <w:t xml:space="preserve">                </w:t>
            </w:r>
            <w:r w:rsidR="00562BAE">
              <w:t xml:space="preserve"> 47</w:t>
            </w:r>
          </w:p>
          <w:p w:rsidR="00962FCA" w:rsidRDefault="00962FCA" w:rsidP="00885B05">
            <w:r>
              <w:t xml:space="preserve">    </w:t>
            </w:r>
            <w:r w:rsidR="00562BAE">
              <w:t xml:space="preserve">    6</w:t>
            </w:r>
          </w:p>
          <w:p w:rsidR="00962FCA" w:rsidRDefault="00962FCA" w:rsidP="00885B05">
            <w:r>
              <w:t xml:space="preserve">      </w:t>
            </w:r>
            <w:r w:rsidR="00562BAE">
              <w:t xml:space="preserve">  6</w:t>
            </w:r>
          </w:p>
          <w:p w:rsidR="00962FCA" w:rsidRDefault="00962FCA" w:rsidP="00885B05">
            <w:r>
              <w:t xml:space="preserve">      </w:t>
            </w:r>
            <w:r w:rsidR="00562BAE">
              <w:t xml:space="preserve">  9</w:t>
            </w:r>
          </w:p>
          <w:p w:rsidR="00962FCA" w:rsidRDefault="00962FCA" w:rsidP="00885B05">
            <w:r>
              <w:t xml:space="preserve">      </w:t>
            </w:r>
            <w:r w:rsidR="00562BAE">
              <w:t xml:space="preserve">  2</w:t>
            </w:r>
          </w:p>
          <w:p w:rsidR="00962FCA" w:rsidRDefault="00962FCA" w:rsidP="00885B05">
            <w:r>
              <w:t xml:space="preserve">      </w:t>
            </w:r>
            <w:r w:rsidR="00562BAE">
              <w:t xml:space="preserve">  7</w:t>
            </w:r>
          </w:p>
          <w:p w:rsidR="00962FCA" w:rsidRDefault="00962FCA" w:rsidP="00885B05">
            <w:r>
              <w:t xml:space="preserve">      </w:t>
            </w:r>
            <w:r w:rsidR="00562BAE">
              <w:t>17</w:t>
            </w:r>
          </w:p>
          <w:p w:rsidR="00962FCA" w:rsidRDefault="00962FCA" w:rsidP="00885B05">
            <w:r>
              <w:t xml:space="preserve">               </w:t>
            </w:r>
            <w:r w:rsidR="00562BAE">
              <w:t xml:space="preserve">   18</w:t>
            </w:r>
          </w:p>
          <w:p w:rsidR="00962FCA" w:rsidRDefault="00962FCA" w:rsidP="00885B05">
            <w:r>
              <w:t xml:space="preserve">      </w:t>
            </w:r>
            <w:r w:rsidR="00562BAE">
              <w:t xml:space="preserve">  5</w:t>
            </w:r>
          </w:p>
          <w:p w:rsidR="00962FCA" w:rsidRDefault="00962FCA" w:rsidP="00885B05">
            <w:r>
              <w:t xml:space="preserve">    </w:t>
            </w:r>
            <w:r w:rsidR="00562BAE">
              <w:t xml:space="preserve">  13</w:t>
            </w:r>
          </w:p>
          <w:p w:rsidR="00962FCA" w:rsidRDefault="00962FCA" w:rsidP="00885B05">
            <w:r>
              <w:t xml:space="preserve">    </w:t>
            </w:r>
            <w:r w:rsidR="00562BAE">
              <w:t xml:space="preserve">  21</w:t>
            </w:r>
            <w:r>
              <w:t xml:space="preserve">      </w:t>
            </w:r>
            <w:r w:rsidR="00562BAE">
              <w:t xml:space="preserve">  21</w:t>
            </w:r>
          </w:p>
          <w:p w:rsidR="00962FCA" w:rsidRDefault="00962FCA" w:rsidP="00562BAE">
            <w:r>
              <w:t xml:space="preserve"> </w:t>
            </w:r>
            <w:r w:rsidR="00562BAE">
              <w:t xml:space="preserve">   </w:t>
            </w:r>
            <w:r>
              <w:t>12</w:t>
            </w:r>
            <w:r w:rsidR="00562BAE">
              <w:t>6</w:t>
            </w:r>
            <w:r>
              <w:t xml:space="preserve">   </w:t>
            </w:r>
            <w:r w:rsidR="00562BAE">
              <w:t xml:space="preserve">   </w:t>
            </w:r>
            <w:r>
              <w:t>12</w:t>
            </w:r>
            <w:r w:rsidR="00562BAE">
              <w:t>6</w:t>
            </w:r>
          </w:p>
        </w:tc>
        <w:tc>
          <w:tcPr>
            <w:tcW w:w="1873" w:type="dxa"/>
          </w:tcPr>
          <w:p w:rsidR="00962FCA" w:rsidRDefault="00962FCA" w:rsidP="00885B05">
            <w:r>
              <w:t xml:space="preserve">  </w:t>
            </w:r>
            <w:r w:rsidR="00562BAE">
              <w:t>10</w:t>
            </w:r>
            <w:r>
              <w:t>,</w:t>
            </w:r>
            <w:r w:rsidR="00562BAE">
              <w:t>32</w:t>
            </w:r>
            <w:r>
              <w:t xml:space="preserve">      </w:t>
            </w:r>
            <w:r w:rsidR="00562BAE">
              <w:t>10</w:t>
            </w:r>
            <w:r>
              <w:t>,</w:t>
            </w:r>
            <w:r w:rsidR="00562BAE">
              <w:t>32</w:t>
            </w:r>
          </w:p>
          <w:p w:rsidR="00962FCA" w:rsidRDefault="00962FCA" w:rsidP="00885B05"/>
          <w:p w:rsidR="00962FCA" w:rsidRDefault="00962FCA" w:rsidP="00885B05">
            <w:r>
              <w:t xml:space="preserve">                </w:t>
            </w:r>
            <w:r w:rsidR="00562BAE">
              <w:t xml:space="preserve"> </w:t>
            </w:r>
            <w:r>
              <w:t>2</w:t>
            </w:r>
            <w:r w:rsidR="00562BAE">
              <w:t>1</w:t>
            </w:r>
            <w:r>
              <w:t>,</w:t>
            </w:r>
            <w:r w:rsidR="00562BAE">
              <w:t>43</w:t>
            </w:r>
          </w:p>
          <w:p w:rsidR="00962FCA" w:rsidRDefault="00562BAE" w:rsidP="00885B05">
            <w:r>
              <w:t xml:space="preserve">    7,14</w:t>
            </w:r>
          </w:p>
          <w:p w:rsidR="00962FCA" w:rsidRDefault="00962FCA" w:rsidP="00885B05">
            <w:r>
              <w:t xml:space="preserve">  1</w:t>
            </w:r>
            <w:r w:rsidR="00562BAE">
              <w:t>4</w:t>
            </w:r>
            <w:r>
              <w:t>,</w:t>
            </w:r>
            <w:r w:rsidR="00562BAE">
              <w:t>29</w:t>
            </w:r>
            <w:r>
              <w:t xml:space="preserve"> </w:t>
            </w:r>
          </w:p>
          <w:p w:rsidR="00962FCA" w:rsidRDefault="00962FCA" w:rsidP="00885B05">
            <w:r>
              <w:t xml:space="preserve">                </w:t>
            </w:r>
            <w:r w:rsidR="00562BAE">
              <w:t xml:space="preserve"> 37</w:t>
            </w:r>
            <w:r>
              <w:t>,</w:t>
            </w:r>
            <w:r w:rsidR="00562BAE">
              <w:t>30</w:t>
            </w:r>
          </w:p>
          <w:p w:rsidR="00962FCA" w:rsidRDefault="00962FCA" w:rsidP="00885B05">
            <w:r>
              <w:t xml:space="preserve">    </w:t>
            </w:r>
            <w:r w:rsidR="00562BAE">
              <w:t>4</w:t>
            </w:r>
            <w:r>
              <w:t>,</w:t>
            </w:r>
            <w:r w:rsidR="00562BAE">
              <w:t>76</w:t>
            </w:r>
          </w:p>
          <w:p w:rsidR="00962FCA" w:rsidRDefault="00962FCA" w:rsidP="00885B05">
            <w:r>
              <w:t xml:space="preserve">    </w:t>
            </w:r>
            <w:r w:rsidR="00562BAE">
              <w:t>4</w:t>
            </w:r>
            <w:r>
              <w:t>,</w:t>
            </w:r>
            <w:r w:rsidR="00562BAE">
              <w:t>7</w:t>
            </w:r>
            <w:r>
              <w:t>6</w:t>
            </w:r>
          </w:p>
          <w:p w:rsidR="00962FCA" w:rsidRDefault="00962FCA" w:rsidP="00885B05">
            <w:r>
              <w:t xml:space="preserve">    </w:t>
            </w:r>
            <w:r w:rsidR="00562BAE">
              <w:t>7</w:t>
            </w:r>
            <w:r>
              <w:t>,</w:t>
            </w:r>
            <w:r w:rsidR="00562BAE">
              <w:t>14</w:t>
            </w:r>
          </w:p>
          <w:p w:rsidR="00962FCA" w:rsidRDefault="00962FCA" w:rsidP="00885B05">
            <w:r>
              <w:t xml:space="preserve">    1,5</w:t>
            </w:r>
            <w:r w:rsidR="00562BAE">
              <w:t>9</w:t>
            </w:r>
          </w:p>
          <w:p w:rsidR="00962FCA" w:rsidRDefault="00962FCA" w:rsidP="00885B05">
            <w:r>
              <w:t xml:space="preserve">    </w:t>
            </w:r>
            <w:r w:rsidR="00562BAE">
              <w:t>5</w:t>
            </w:r>
            <w:r>
              <w:t>,</w:t>
            </w:r>
            <w:r w:rsidR="00562BAE">
              <w:t>56</w:t>
            </w:r>
          </w:p>
          <w:p w:rsidR="00962FCA" w:rsidRDefault="00962FCA" w:rsidP="00885B05">
            <w:r>
              <w:t xml:space="preserve">  </w:t>
            </w:r>
            <w:r w:rsidR="00562BAE">
              <w:t>1</w:t>
            </w:r>
            <w:r>
              <w:t>3,</w:t>
            </w:r>
            <w:r w:rsidR="00562BAE">
              <w:t>49</w:t>
            </w:r>
          </w:p>
          <w:p w:rsidR="00962FCA" w:rsidRDefault="00962FCA" w:rsidP="00885B05">
            <w:r>
              <w:t xml:space="preserve">                </w:t>
            </w:r>
            <w:r w:rsidR="00DF3D70">
              <w:t xml:space="preserve"> </w:t>
            </w:r>
            <w:r>
              <w:t>1</w:t>
            </w:r>
            <w:r w:rsidR="00562BAE">
              <w:t>4</w:t>
            </w:r>
            <w:r>
              <w:t>,</w:t>
            </w:r>
            <w:r w:rsidR="00562BAE">
              <w:t>29</w:t>
            </w:r>
          </w:p>
          <w:p w:rsidR="00962FCA" w:rsidRDefault="00962FCA" w:rsidP="00885B05">
            <w:r>
              <w:t xml:space="preserve">    </w:t>
            </w:r>
            <w:r w:rsidR="00562BAE">
              <w:t>3</w:t>
            </w:r>
            <w:r>
              <w:t>,</w:t>
            </w:r>
            <w:r w:rsidR="00562BAE">
              <w:t>97</w:t>
            </w:r>
          </w:p>
          <w:p w:rsidR="00962FCA" w:rsidRDefault="00962FCA" w:rsidP="00885B05">
            <w:r>
              <w:t xml:space="preserve">  1</w:t>
            </w:r>
            <w:r w:rsidR="00562BAE">
              <w:t>0</w:t>
            </w:r>
            <w:r>
              <w:t>,3</w:t>
            </w:r>
            <w:r w:rsidR="00562BAE">
              <w:t>2</w:t>
            </w:r>
          </w:p>
          <w:p w:rsidR="00962FCA" w:rsidRDefault="00962FCA" w:rsidP="00885B05">
            <w:r>
              <w:t xml:space="preserve">  28,99     </w:t>
            </w:r>
            <w:r w:rsidR="00DF3D70">
              <w:t xml:space="preserve"> </w:t>
            </w:r>
            <w:r>
              <w:t>28,99</w:t>
            </w:r>
          </w:p>
          <w:p w:rsidR="00962FCA" w:rsidRDefault="00962FCA" w:rsidP="00885B05">
            <w:r>
              <w:t xml:space="preserve">    100        </w:t>
            </w:r>
            <w:r w:rsidR="00DF3D70">
              <w:t xml:space="preserve"> </w:t>
            </w:r>
            <w:r>
              <w:t>100</w:t>
            </w:r>
          </w:p>
        </w:tc>
      </w:tr>
    </w:tbl>
    <w:p w:rsidR="00962FCA" w:rsidRDefault="00962FCA" w:rsidP="00962FCA"/>
    <w:p w:rsidR="00914D2A" w:rsidRDefault="00562BAE" w:rsidP="00DF3D70">
      <w:r>
        <w:t>La clasificación de los Temarios de las Jornadas</w:t>
      </w:r>
      <w:r w:rsidR="00DF3D70">
        <w:t xml:space="preserve"> muestra tendencias similares a las mencionadas anteriormente. De todos modos, conviene señalar que se acrecienta la participación de los temas tributarias y 17 veces el temario se ha referido al análisis de los sistemas tributarios y a las propuestas de reforma. También se confirma la impo</w:t>
      </w:r>
      <w:r w:rsidR="00DF3D70">
        <w:t>r</w:t>
      </w:r>
      <w:r w:rsidR="00DF3D70">
        <w:t>tancia de las relaciones fiscales entre gobiernos de distinto nivel.</w:t>
      </w:r>
    </w:p>
    <w:p w:rsidR="00046B6F" w:rsidRDefault="00914D2A" w:rsidP="00914D2A">
      <w:pPr>
        <w:spacing w:after="0"/>
      </w:pPr>
      <w:r>
        <w:rPr>
          <w:b/>
        </w:rPr>
        <w:t>2.3 Número de trabajos presentados</w:t>
      </w:r>
    </w:p>
    <w:p w:rsidR="00914D2A" w:rsidRDefault="00914D2A" w:rsidP="00DF3D70">
      <w:pPr>
        <w:spacing w:after="0"/>
      </w:pPr>
      <w:r>
        <w:t>El Gráfico 1 muestra la evolución del número de trabajos presentados. Podemos o</w:t>
      </w:r>
      <w:r>
        <w:t>b</w:t>
      </w:r>
      <w:r>
        <w:t xml:space="preserve">servar que, con oscilaciones naturales, ha habido un significativo crecimiento desde principios del presente siglo. </w:t>
      </w:r>
    </w:p>
    <w:p w:rsidR="00DF3D70" w:rsidRDefault="00DF3D70" w:rsidP="009F3FA1"/>
    <w:p w:rsidR="00914D2A" w:rsidRPr="00914D2A" w:rsidRDefault="00914D2A" w:rsidP="00914D2A">
      <w:pPr>
        <w:jc w:val="center"/>
      </w:pPr>
      <w:r>
        <w:rPr>
          <w:noProof/>
          <w:lang w:eastAsia="es-AR"/>
        </w:rPr>
        <w:drawing>
          <wp:inline distT="0" distB="0" distL="0" distR="0" wp14:anchorId="7EEEA789" wp14:editId="63DFAE96">
            <wp:extent cx="4572000" cy="2832100"/>
            <wp:effectExtent l="0" t="0" r="19050" b="2540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F3FA1" w:rsidRDefault="009F3FA1" w:rsidP="00914D2A">
      <w:pPr>
        <w:spacing w:after="0"/>
      </w:pPr>
    </w:p>
    <w:p w:rsidR="00914D2A" w:rsidRDefault="00914D2A" w:rsidP="00914D2A">
      <w:pPr>
        <w:spacing w:after="0"/>
      </w:pPr>
    </w:p>
    <w:p w:rsidR="00053EFA" w:rsidRDefault="00DF3D70" w:rsidP="00DF3D70">
      <w:pPr>
        <w:spacing w:after="0"/>
      </w:pPr>
      <w:r>
        <w:rPr>
          <w:b/>
        </w:rPr>
        <w:t xml:space="preserve">2.4 </w:t>
      </w:r>
      <w:r w:rsidR="00226D98">
        <w:rPr>
          <w:b/>
        </w:rPr>
        <w:t xml:space="preserve">Procedencia de </w:t>
      </w:r>
      <w:r>
        <w:rPr>
          <w:b/>
        </w:rPr>
        <w:t>los autores de trabajos</w:t>
      </w:r>
    </w:p>
    <w:p w:rsidR="009D32F6" w:rsidRDefault="00226D98" w:rsidP="009D32F6">
      <w:pPr>
        <w:spacing w:after="0"/>
      </w:pPr>
      <w:r>
        <w:t>Nos referimos a “procedencia” para considerar la nacionalidad de los participantes y las instituciones a las que pertenecen. La iniciativa original usó la denominación simple de Jornadas de Finanzas Públicas. En el año 2000 la denominación fue Jornadas N</w:t>
      </w:r>
      <w:r>
        <w:t>a</w:t>
      </w:r>
      <w:r>
        <w:t xml:space="preserve">cionales Interamericanas y luego Jornadas Internacionales de Finanzas Públicas. La participación de autores de otros países tiene </w:t>
      </w:r>
      <w:r w:rsidR="00D15776">
        <w:t>varias connotaciones positivas: amplía las perspectivas de enfoque de los temas fiscales, aumenta la posibilidad de interca</w:t>
      </w:r>
      <w:r w:rsidR="00D15776">
        <w:t>m</w:t>
      </w:r>
      <w:r w:rsidR="00D15776">
        <w:t>bios valiosos y muestra la importancia que han ido ganando las Jornadas. Ya en 1970 hubo participantes de Uruguay y Chile, pero ha sido en los últimos años cuando ha crecido de manera importante el número de  los participantes extranjeros. A</w:t>
      </w:r>
      <w:r w:rsidR="009D32F6">
        <w:t>utores de 17</w:t>
      </w:r>
      <w:r w:rsidR="00D15776">
        <w:t xml:space="preserve"> países distintos han tomado parte de las Jornadas.</w:t>
      </w:r>
      <w:r w:rsidR="009D32F6">
        <w:t xml:space="preserve"> El Cuadro 4 nos muestra el país de origen de los participantes extranjeros y los trabajos presentados.</w:t>
      </w:r>
      <w:r w:rsidR="00DA18CA">
        <w:t xml:space="preserve"> Nótese que los 186 trabajos de autores extranjeros son, casi, el 15% del total</w:t>
      </w:r>
    </w:p>
    <w:p w:rsidR="00F3738D" w:rsidRDefault="00F3738D" w:rsidP="003A26FD">
      <w:pPr>
        <w:spacing w:after="0"/>
      </w:pPr>
    </w:p>
    <w:p w:rsidR="00F3738D" w:rsidRDefault="00F3738D" w:rsidP="00F3738D">
      <w:pPr>
        <w:spacing w:after="0"/>
        <w:jc w:val="center"/>
        <w:rPr>
          <w:b/>
        </w:rPr>
      </w:pPr>
      <w:r>
        <w:rPr>
          <w:b/>
        </w:rPr>
        <w:t>Cuadro 4</w:t>
      </w:r>
    </w:p>
    <w:p w:rsidR="00F3738D" w:rsidRPr="00F3738D" w:rsidRDefault="00F3738D" w:rsidP="00F3738D">
      <w:pPr>
        <w:jc w:val="center"/>
        <w:rPr>
          <w:b/>
        </w:rPr>
      </w:pPr>
      <w:r>
        <w:rPr>
          <w:b/>
        </w:rPr>
        <w:t>Trabajos de autores extranjeros</w:t>
      </w:r>
    </w:p>
    <w:tbl>
      <w:tblPr>
        <w:tblStyle w:val="Tablaconcuadrcula"/>
        <w:tblW w:w="0" w:type="auto"/>
        <w:tblInd w:w="1384" w:type="dxa"/>
        <w:tblLook w:val="04A0" w:firstRow="1" w:lastRow="0" w:firstColumn="1" w:lastColumn="0" w:noHBand="0" w:noVBand="1"/>
      </w:tblPr>
      <w:tblGrid>
        <w:gridCol w:w="3969"/>
        <w:gridCol w:w="1701"/>
      </w:tblGrid>
      <w:tr w:rsidR="00F3738D" w:rsidTr="00F3738D">
        <w:tc>
          <w:tcPr>
            <w:tcW w:w="3969" w:type="dxa"/>
          </w:tcPr>
          <w:p w:rsidR="00F3738D" w:rsidRDefault="00F3738D" w:rsidP="00F3738D">
            <w:pPr>
              <w:jc w:val="center"/>
            </w:pPr>
            <w:r>
              <w:t>Países</w:t>
            </w:r>
          </w:p>
        </w:tc>
        <w:tc>
          <w:tcPr>
            <w:tcW w:w="1701" w:type="dxa"/>
          </w:tcPr>
          <w:p w:rsidR="00F3738D" w:rsidRDefault="00F3738D" w:rsidP="00F3738D">
            <w:pPr>
              <w:jc w:val="center"/>
            </w:pPr>
            <w:r>
              <w:t>Trabajos</w:t>
            </w:r>
          </w:p>
        </w:tc>
      </w:tr>
      <w:tr w:rsidR="00F3738D" w:rsidTr="00F3738D">
        <w:tc>
          <w:tcPr>
            <w:tcW w:w="3969" w:type="dxa"/>
          </w:tcPr>
          <w:p w:rsidR="00F3738D" w:rsidRDefault="00F3738D" w:rsidP="003A26FD">
            <w:r>
              <w:t>Alemania</w:t>
            </w:r>
          </w:p>
          <w:p w:rsidR="009D32F6" w:rsidRDefault="009D32F6" w:rsidP="003A26FD">
            <w:r>
              <w:t>Bolivia</w:t>
            </w:r>
          </w:p>
          <w:p w:rsidR="00F3738D" w:rsidRDefault="00F3738D" w:rsidP="003A26FD">
            <w:r>
              <w:t>Brasil</w:t>
            </w:r>
          </w:p>
          <w:p w:rsidR="00F3738D" w:rsidRDefault="00F3738D" w:rsidP="003A26FD">
            <w:proofErr w:type="spellStart"/>
            <w:r>
              <w:t>Canad+a</w:t>
            </w:r>
            <w:proofErr w:type="spellEnd"/>
          </w:p>
          <w:p w:rsidR="00F3738D" w:rsidRDefault="00F3738D" w:rsidP="003A26FD">
            <w:r>
              <w:t>Chile</w:t>
            </w:r>
          </w:p>
          <w:p w:rsidR="00F3738D" w:rsidRDefault="00F3738D" w:rsidP="003A26FD">
            <w:r>
              <w:t>Colombia</w:t>
            </w:r>
          </w:p>
          <w:p w:rsidR="00F3738D" w:rsidRDefault="009D32F6" w:rsidP="003A26FD">
            <w:r>
              <w:t>Ecuador</w:t>
            </w:r>
          </w:p>
          <w:p w:rsidR="009D32F6" w:rsidRDefault="009D32F6" w:rsidP="003A26FD">
            <w:r>
              <w:t>España</w:t>
            </w:r>
          </w:p>
          <w:p w:rsidR="009D32F6" w:rsidRDefault="009D32F6" w:rsidP="003A26FD">
            <w:r>
              <w:t>Estados Unidos</w:t>
            </w:r>
          </w:p>
          <w:p w:rsidR="009D32F6" w:rsidRDefault="009D32F6" w:rsidP="003A26FD">
            <w:r>
              <w:t>Gran Bretaña</w:t>
            </w:r>
          </w:p>
          <w:p w:rsidR="009D32F6" w:rsidRDefault="009D32F6" w:rsidP="003A26FD">
            <w:r>
              <w:t>Italia</w:t>
            </w:r>
          </w:p>
          <w:p w:rsidR="009D32F6" w:rsidRDefault="009D32F6" w:rsidP="003A26FD">
            <w:r>
              <w:t>Lituania</w:t>
            </w:r>
          </w:p>
          <w:p w:rsidR="009D32F6" w:rsidRDefault="009D32F6" w:rsidP="003A26FD">
            <w:r>
              <w:t>México</w:t>
            </w:r>
          </w:p>
          <w:p w:rsidR="009D32F6" w:rsidRDefault="009D32F6" w:rsidP="003A26FD">
            <w:r>
              <w:t>República Dominicana</w:t>
            </w:r>
          </w:p>
          <w:p w:rsidR="009D32F6" w:rsidRDefault="009D32F6" w:rsidP="003A26FD">
            <w:proofErr w:type="spellStart"/>
            <w:r>
              <w:t>Suisa</w:t>
            </w:r>
            <w:proofErr w:type="spellEnd"/>
          </w:p>
          <w:p w:rsidR="009D32F6" w:rsidRDefault="009D32F6" w:rsidP="003A26FD">
            <w:r>
              <w:t>Uruguay</w:t>
            </w:r>
          </w:p>
          <w:p w:rsidR="009D32F6" w:rsidRDefault="009D32F6" w:rsidP="003A26FD">
            <w:r>
              <w:t>Venezuela</w:t>
            </w:r>
          </w:p>
        </w:tc>
        <w:tc>
          <w:tcPr>
            <w:tcW w:w="1701" w:type="dxa"/>
          </w:tcPr>
          <w:p w:rsidR="00F3738D" w:rsidRDefault="00DA18CA" w:rsidP="000049B8">
            <w:pPr>
              <w:jc w:val="center"/>
            </w:pPr>
            <w:r>
              <w:t>4</w:t>
            </w:r>
          </w:p>
          <w:p w:rsidR="00DA18CA" w:rsidRDefault="00DA18CA" w:rsidP="000049B8">
            <w:pPr>
              <w:jc w:val="center"/>
            </w:pPr>
            <w:r>
              <w:t>1</w:t>
            </w:r>
          </w:p>
          <w:p w:rsidR="00DA18CA" w:rsidRDefault="00DA18CA" w:rsidP="000049B8">
            <w:pPr>
              <w:jc w:val="center"/>
            </w:pPr>
            <w:r>
              <w:t>63</w:t>
            </w:r>
          </w:p>
          <w:p w:rsidR="00DA18CA" w:rsidRDefault="00DA18CA" w:rsidP="000049B8">
            <w:pPr>
              <w:jc w:val="center"/>
            </w:pPr>
            <w:r>
              <w:t>5</w:t>
            </w:r>
          </w:p>
          <w:p w:rsidR="00DA18CA" w:rsidRDefault="00DA18CA" w:rsidP="000049B8">
            <w:pPr>
              <w:jc w:val="center"/>
            </w:pPr>
            <w:r>
              <w:t>17</w:t>
            </w:r>
          </w:p>
          <w:p w:rsidR="00DA18CA" w:rsidRDefault="00DA18CA" w:rsidP="000049B8">
            <w:pPr>
              <w:jc w:val="center"/>
            </w:pPr>
            <w:r>
              <w:t>7</w:t>
            </w:r>
          </w:p>
          <w:p w:rsidR="00DA18CA" w:rsidRDefault="00DA18CA" w:rsidP="000049B8">
            <w:pPr>
              <w:jc w:val="center"/>
            </w:pPr>
            <w:r>
              <w:t>4</w:t>
            </w:r>
          </w:p>
          <w:p w:rsidR="00DA18CA" w:rsidRDefault="00DA18CA" w:rsidP="000049B8">
            <w:pPr>
              <w:jc w:val="center"/>
            </w:pPr>
            <w:r>
              <w:t>45</w:t>
            </w:r>
          </w:p>
          <w:p w:rsidR="00DA18CA" w:rsidRDefault="00DA18CA" w:rsidP="000049B8">
            <w:pPr>
              <w:jc w:val="center"/>
            </w:pPr>
            <w:r>
              <w:t>9</w:t>
            </w:r>
          </w:p>
          <w:p w:rsidR="00DA18CA" w:rsidRDefault="00DA18CA" w:rsidP="000049B8">
            <w:pPr>
              <w:jc w:val="center"/>
            </w:pPr>
            <w:r>
              <w:t>3</w:t>
            </w:r>
          </w:p>
          <w:p w:rsidR="00DA18CA" w:rsidRDefault="00DA18CA" w:rsidP="000049B8">
            <w:pPr>
              <w:jc w:val="center"/>
            </w:pPr>
            <w:r>
              <w:t>1</w:t>
            </w:r>
          </w:p>
          <w:p w:rsidR="00DA18CA" w:rsidRDefault="00DA18CA" w:rsidP="000049B8">
            <w:pPr>
              <w:jc w:val="center"/>
            </w:pPr>
            <w:r>
              <w:t>1</w:t>
            </w:r>
          </w:p>
          <w:p w:rsidR="00DA18CA" w:rsidRDefault="00DA18CA" w:rsidP="000049B8">
            <w:pPr>
              <w:jc w:val="center"/>
            </w:pPr>
            <w:r>
              <w:t>13</w:t>
            </w:r>
          </w:p>
          <w:p w:rsidR="00DA18CA" w:rsidRDefault="00DA18CA" w:rsidP="000049B8">
            <w:pPr>
              <w:jc w:val="center"/>
            </w:pPr>
            <w:r>
              <w:t>2</w:t>
            </w:r>
          </w:p>
          <w:p w:rsidR="00DA18CA" w:rsidRDefault="00DA18CA" w:rsidP="000049B8">
            <w:pPr>
              <w:jc w:val="center"/>
            </w:pPr>
            <w:r>
              <w:t>1</w:t>
            </w:r>
          </w:p>
          <w:p w:rsidR="00DA18CA" w:rsidRDefault="00DA18CA" w:rsidP="000049B8">
            <w:pPr>
              <w:jc w:val="center"/>
            </w:pPr>
            <w:r>
              <w:t>7</w:t>
            </w:r>
          </w:p>
          <w:p w:rsidR="00DA18CA" w:rsidRDefault="00DA18CA" w:rsidP="000049B8">
            <w:pPr>
              <w:jc w:val="center"/>
            </w:pPr>
            <w:r>
              <w:t>3</w:t>
            </w:r>
          </w:p>
        </w:tc>
      </w:tr>
      <w:tr w:rsidR="00F3738D" w:rsidTr="00F3738D">
        <w:tc>
          <w:tcPr>
            <w:tcW w:w="3969" w:type="dxa"/>
          </w:tcPr>
          <w:p w:rsidR="00F3738D" w:rsidRDefault="009D32F6" w:rsidP="009D32F6">
            <w:pPr>
              <w:jc w:val="right"/>
            </w:pPr>
            <w:r>
              <w:t>Total</w:t>
            </w:r>
          </w:p>
        </w:tc>
        <w:tc>
          <w:tcPr>
            <w:tcW w:w="1701" w:type="dxa"/>
          </w:tcPr>
          <w:p w:rsidR="00F3738D" w:rsidRDefault="00DA18CA" w:rsidP="00DA18CA">
            <w:pPr>
              <w:jc w:val="center"/>
            </w:pPr>
            <w:r>
              <w:t>186</w:t>
            </w:r>
          </w:p>
        </w:tc>
      </w:tr>
    </w:tbl>
    <w:p w:rsidR="009D32F6" w:rsidRDefault="009D32F6" w:rsidP="009D32F6"/>
    <w:p w:rsidR="009D32F6" w:rsidRDefault="009D32F6" w:rsidP="009D32F6">
      <w:r>
        <w:t xml:space="preserve">Otro punto relevante es la participación como invitados de destacados especialistas mundialmente reconocidos. Mencionemos, como ejemplos, a Richard </w:t>
      </w:r>
      <w:proofErr w:type="spellStart"/>
      <w:r>
        <w:t>Musgrave</w:t>
      </w:r>
      <w:proofErr w:type="spellEnd"/>
      <w:r>
        <w:t xml:space="preserve">, Alan Prest, Alan </w:t>
      </w:r>
      <w:proofErr w:type="spellStart"/>
      <w:r>
        <w:t>Tait</w:t>
      </w:r>
      <w:proofErr w:type="spellEnd"/>
      <w:r>
        <w:t xml:space="preserve">, Jack </w:t>
      </w:r>
      <w:proofErr w:type="spellStart"/>
      <w:r>
        <w:t>Wiseman</w:t>
      </w:r>
      <w:proofErr w:type="spellEnd"/>
      <w:r>
        <w:t xml:space="preserve">, Charles </w:t>
      </w:r>
      <w:proofErr w:type="spellStart"/>
      <w:r>
        <w:t>McLure</w:t>
      </w:r>
      <w:proofErr w:type="spellEnd"/>
      <w:r>
        <w:t xml:space="preserve">, Richard </w:t>
      </w:r>
      <w:proofErr w:type="spellStart"/>
      <w:r>
        <w:t>Bird</w:t>
      </w:r>
      <w:proofErr w:type="spellEnd"/>
      <w:r>
        <w:t xml:space="preserve">, David King, Vito </w:t>
      </w:r>
      <w:proofErr w:type="spellStart"/>
      <w:r>
        <w:t>Tanzi</w:t>
      </w:r>
      <w:proofErr w:type="spellEnd"/>
      <w:r>
        <w:t>, Rafael Valdés Costa.</w:t>
      </w:r>
      <w:r w:rsidR="00546D1A">
        <w:t xml:space="preserve"> Sus </w:t>
      </w:r>
      <w:proofErr w:type="gramStart"/>
      <w:r w:rsidR="00546D1A">
        <w:t>aporte</w:t>
      </w:r>
      <w:proofErr w:type="gramEnd"/>
      <w:r w:rsidR="00546D1A">
        <w:t xml:space="preserve"> han sido parte esencial a los logros de las Jornadas.</w:t>
      </w:r>
    </w:p>
    <w:p w:rsidR="00DF3D70" w:rsidRDefault="00DF3D70" w:rsidP="003A26FD">
      <w:pPr>
        <w:spacing w:after="0"/>
      </w:pPr>
      <w:r>
        <w:t>El C</w:t>
      </w:r>
      <w:r w:rsidR="0053350E">
        <w:t>uadro 5</w:t>
      </w:r>
      <w:r>
        <w:t xml:space="preserve"> muestra las instituciones de las que proceden los participantes de las Jo</w:t>
      </w:r>
      <w:r>
        <w:t>r</w:t>
      </w:r>
      <w:r>
        <w:t>nadas que expusieron sus trabajos.</w:t>
      </w:r>
    </w:p>
    <w:p w:rsidR="00DA18CA" w:rsidRDefault="00DA18CA" w:rsidP="003A26FD">
      <w:pPr>
        <w:spacing w:after="0"/>
        <w:jc w:val="center"/>
        <w:rPr>
          <w:b/>
        </w:rPr>
      </w:pPr>
    </w:p>
    <w:p w:rsidR="003A26FD" w:rsidRDefault="00DA18CA" w:rsidP="003A26FD">
      <w:pPr>
        <w:spacing w:after="0"/>
        <w:jc w:val="center"/>
        <w:rPr>
          <w:b/>
        </w:rPr>
      </w:pPr>
      <w:r>
        <w:rPr>
          <w:b/>
        </w:rPr>
        <w:t>Cuadro 5</w:t>
      </w:r>
    </w:p>
    <w:p w:rsidR="003A26FD" w:rsidRDefault="003A26FD" w:rsidP="003A26FD">
      <w:pPr>
        <w:jc w:val="center"/>
      </w:pPr>
      <w:r>
        <w:rPr>
          <w:b/>
        </w:rPr>
        <w:t>Instituciones y autores de trabajos</w:t>
      </w:r>
    </w:p>
    <w:tbl>
      <w:tblPr>
        <w:tblStyle w:val="Tablaconcuadrcula"/>
        <w:tblW w:w="0" w:type="auto"/>
        <w:tblLook w:val="04A0" w:firstRow="1" w:lastRow="0" w:firstColumn="1" w:lastColumn="0" w:noHBand="0" w:noVBand="1"/>
      </w:tblPr>
      <w:tblGrid>
        <w:gridCol w:w="5353"/>
        <w:gridCol w:w="1701"/>
        <w:gridCol w:w="1590"/>
      </w:tblGrid>
      <w:tr w:rsidR="003A26FD" w:rsidTr="003A26FD">
        <w:tc>
          <w:tcPr>
            <w:tcW w:w="5353" w:type="dxa"/>
            <w:tcBorders>
              <w:top w:val="nil"/>
              <w:left w:val="nil"/>
            </w:tcBorders>
          </w:tcPr>
          <w:p w:rsidR="003A26FD" w:rsidRDefault="003A26FD" w:rsidP="003A26FD"/>
        </w:tc>
        <w:tc>
          <w:tcPr>
            <w:tcW w:w="3291" w:type="dxa"/>
            <w:gridSpan w:val="2"/>
          </w:tcPr>
          <w:p w:rsidR="003A26FD" w:rsidRDefault="003A26FD" w:rsidP="003A26FD">
            <w:pPr>
              <w:jc w:val="center"/>
            </w:pPr>
            <w:r>
              <w:t>Trabajos presentados</w:t>
            </w:r>
          </w:p>
        </w:tc>
      </w:tr>
      <w:tr w:rsidR="003A26FD" w:rsidTr="003A26FD">
        <w:tc>
          <w:tcPr>
            <w:tcW w:w="5353" w:type="dxa"/>
          </w:tcPr>
          <w:p w:rsidR="003A26FD" w:rsidRDefault="003A26FD" w:rsidP="003A26FD">
            <w:pPr>
              <w:jc w:val="center"/>
            </w:pPr>
            <w:r>
              <w:t>Instituciones</w:t>
            </w:r>
          </w:p>
        </w:tc>
        <w:tc>
          <w:tcPr>
            <w:tcW w:w="1701" w:type="dxa"/>
          </w:tcPr>
          <w:p w:rsidR="003A26FD" w:rsidRDefault="003A26FD" w:rsidP="003A26FD">
            <w:pPr>
              <w:jc w:val="center"/>
            </w:pPr>
            <w:r>
              <w:t>Número</w:t>
            </w:r>
          </w:p>
        </w:tc>
        <w:tc>
          <w:tcPr>
            <w:tcW w:w="1590" w:type="dxa"/>
          </w:tcPr>
          <w:p w:rsidR="003A26FD" w:rsidRDefault="003A26FD" w:rsidP="003A26FD">
            <w:pPr>
              <w:jc w:val="center"/>
            </w:pPr>
            <w:r>
              <w:t>Porcentaje</w:t>
            </w:r>
          </w:p>
        </w:tc>
      </w:tr>
      <w:tr w:rsidR="003A26FD" w:rsidTr="003A26FD">
        <w:tc>
          <w:tcPr>
            <w:tcW w:w="5353" w:type="dxa"/>
          </w:tcPr>
          <w:p w:rsidR="003A26FD" w:rsidRDefault="00AA634C" w:rsidP="003A26FD">
            <w:r>
              <w:t>Universidades</w:t>
            </w:r>
          </w:p>
          <w:p w:rsidR="00AA634C" w:rsidRDefault="00AA634C" w:rsidP="003A26FD">
            <w:r>
              <w:t>Fundaciones, Institutos, Consejos Profesionales</w:t>
            </w:r>
          </w:p>
          <w:p w:rsidR="00AA634C" w:rsidRDefault="00AA634C" w:rsidP="003A26FD">
            <w:r>
              <w:t>Instituciones gubernamentales</w:t>
            </w:r>
          </w:p>
          <w:p w:rsidR="00AA634C" w:rsidRDefault="00AA634C" w:rsidP="003A26FD">
            <w:r>
              <w:t>Autores individuales</w:t>
            </w:r>
          </w:p>
          <w:p w:rsidR="00AA634C" w:rsidRDefault="00AA634C" w:rsidP="00AA634C">
            <w:pPr>
              <w:jc w:val="right"/>
            </w:pPr>
            <w:r>
              <w:t>Totales</w:t>
            </w:r>
          </w:p>
        </w:tc>
        <w:tc>
          <w:tcPr>
            <w:tcW w:w="1701" w:type="dxa"/>
          </w:tcPr>
          <w:p w:rsidR="003A26FD" w:rsidRDefault="00AA634C" w:rsidP="00AA634C">
            <w:pPr>
              <w:jc w:val="center"/>
            </w:pPr>
            <w:r>
              <w:t xml:space="preserve">  827</w:t>
            </w:r>
          </w:p>
          <w:p w:rsidR="00AA634C" w:rsidRDefault="00AA634C" w:rsidP="00AA634C">
            <w:pPr>
              <w:jc w:val="center"/>
            </w:pPr>
            <w:r>
              <w:t xml:space="preserve">  137</w:t>
            </w:r>
          </w:p>
          <w:p w:rsidR="00AA634C" w:rsidRDefault="00AA634C" w:rsidP="00AA634C">
            <w:pPr>
              <w:jc w:val="center"/>
            </w:pPr>
            <w:r>
              <w:t xml:space="preserve">  249</w:t>
            </w:r>
          </w:p>
          <w:p w:rsidR="00AA634C" w:rsidRDefault="00AA634C" w:rsidP="00AA634C">
            <w:pPr>
              <w:jc w:val="center"/>
            </w:pPr>
            <w:r>
              <w:t xml:space="preserve">    26</w:t>
            </w:r>
          </w:p>
          <w:p w:rsidR="00AA634C" w:rsidRDefault="00AA634C" w:rsidP="00AA634C">
            <w:pPr>
              <w:jc w:val="center"/>
            </w:pPr>
            <w:r>
              <w:t>1.259</w:t>
            </w:r>
          </w:p>
        </w:tc>
        <w:tc>
          <w:tcPr>
            <w:tcW w:w="1590" w:type="dxa"/>
          </w:tcPr>
          <w:p w:rsidR="003A26FD" w:rsidRDefault="00AA634C" w:rsidP="00AA634C">
            <w:pPr>
              <w:jc w:val="center"/>
            </w:pPr>
            <w:r>
              <w:t>67,28</w:t>
            </w:r>
          </w:p>
          <w:p w:rsidR="00AA634C" w:rsidRDefault="00AA634C" w:rsidP="00AA634C">
            <w:pPr>
              <w:jc w:val="center"/>
            </w:pPr>
            <w:r>
              <w:t>10,88</w:t>
            </w:r>
          </w:p>
          <w:p w:rsidR="00AA634C" w:rsidRDefault="00AA634C" w:rsidP="00AA634C">
            <w:pPr>
              <w:jc w:val="center"/>
            </w:pPr>
            <w:r>
              <w:t>19,78</w:t>
            </w:r>
          </w:p>
          <w:p w:rsidR="00AA634C" w:rsidRDefault="00AA634C" w:rsidP="00AA634C">
            <w:pPr>
              <w:jc w:val="center"/>
            </w:pPr>
            <w:r>
              <w:t xml:space="preserve">  2,07</w:t>
            </w:r>
          </w:p>
          <w:p w:rsidR="00AA634C" w:rsidRDefault="00AA634C" w:rsidP="00AA634C">
            <w:pPr>
              <w:jc w:val="center"/>
            </w:pPr>
            <w:r>
              <w:t>100</w:t>
            </w:r>
          </w:p>
        </w:tc>
      </w:tr>
    </w:tbl>
    <w:p w:rsidR="003A26FD" w:rsidRDefault="00DA18CA" w:rsidP="00C7217D">
      <w:pPr>
        <w:spacing w:after="0"/>
      </w:pPr>
      <w:r>
        <w:lastRenderedPageBreak/>
        <w:t>La mayoría de los autores de trabajos desarrollan sus actividad</w:t>
      </w:r>
      <w:r w:rsidR="00546D1A">
        <w:t>es</w:t>
      </w:r>
      <w:r>
        <w:t xml:space="preserve"> en universidades, pero también es importante la contribución de otros entes de investigación. Es inter</w:t>
      </w:r>
      <w:r>
        <w:t>e</w:t>
      </w:r>
      <w:r>
        <w:t>sante notar que tres participantes fueron, posteriormente, ministros de Economía de la Nación. Roque Fernández y Domingo Cavallo</w:t>
      </w:r>
      <w:r w:rsidR="007C40CE">
        <w:t xml:space="preserve"> procedían, entonces, de la universidad </w:t>
      </w:r>
      <w:r w:rsidR="00546D1A">
        <w:t xml:space="preserve">y </w:t>
      </w:r>
      <w:proofErr w:type="spellStart"/>
      <w:r w:rsidR="00546D1A">
        <w:t>Josçe</w:t>
      </w:r>
      <w:proofErr w:type="spellEnd"/>
      <w:r w:rsidR="00546D1A">
        <w:t xml:space="preserve"> Luis </w:t>
      </w:r>
      <w:proofErr w:type="spellStart"/>
      <w:r w:rsidR="00546D1A">
        <w:t>Machinea</w:t>
      </w:r>
      <w:proofErr w:type="spellEnd"/>
      <w:r w:rsidR="00546D1A">
        <w:t xml:space="preserve"> </w:t>
      </w:r>
      <w:r w:rsidR="007C40CE">
        <w:t>del Centro de Estudios del Banco Central.</w:t>
      </w:r>
    </w:p>
    <w:p w:rsidR="00C7217D" w:rsidRDefault="00C7217D" w:rsidP="00FB04A9">
      <w:pPr>
        <w:spacing w:after="0"/>
        <w:rPr>
          <w:b/>
          <w:sz w:val="24"/>
        </w:rPr>
      </w:pPr>
    </w:p>
    <w:p w:rsidR="007C40CE" w:rsidRPr="00FB04A9" w:rsidRDefault="00FB04A9" w:rsidP="00FB04A9">
      <w:pPr>
        <w:spacing w:after="0"/>
        <w:rPr>
          <w:b/>
          <w:sz w:val="24"/>
        </w:rPr>
      </w:pPr>
      <w:r>
        <w:rPr>
          <w:b/>
          <w:sz w:val="24"/>
        </w:rPr>
        <w:t>3. Algunos aspectos significativos de los últimos cincuenta años de A</w:t>
      </w:r>
      <w:r>
        <w:rPr>
          <w:b/>
          <w:sz w:val="24"/>
        </w:rPr>
        <w:t>r</w:t>
      </w:r>
      <w:r>
        <w:rPr>
          <w:b/>
          <w:sz w:val="24"/>
        </w:rPr>
        <w:t>gentina</w:t>
      </w:r>
    </w:p>
    <w:p w:rsidR="00DF3D70" w:rsidRDefault="00FB04A9" w:rsidP="00F95921">
      <w:r>
        <w:t>Las actividades intelectuales están, lógicamente, vinculadas con el contexto del lugar en que se desarrollan. Las ciencias tiene</w:t>
      </w:r>
      <w:r w:rsidR="00A174B5">
        <w:t>n aspiraciones de universalidad, lo que co</w:t>
      </w:r>
      <w:r w:rsidR="00A174B5">
        <w:t>n</w:t>
      </w:r>
      <w:r w:rsidR="00A174B5">
        <w:t>tribuye, sin duda, a la importancia y profundidad de sus logros. Pero no pueden su</w:t>
      </w:r>
      <w:r w:rsidR="00A174B5">
        <w:t>s</w:t>
      </w:r>
      <w:r w:rsidR="00A174B5">
        <w:t>traerse a los acontecimientos significativos en la vida de los países. Además, la bú</w:t>
      </w:r>
      <w:r w:rsidR="00A174B5">
        <w:t>s</w:t>
      </w:r>
      <w:r w:rsidR="00A174B5">
        <w:t>queda de conocimiento está relacionada con el deseo de mejora de la vida social. En palabras de James Buchanan las actividades académicas “no buscan sólo la luz, sino también el calor”.</w:t>
      </w:r>
    </w:p>
    <w:p w:rsidR="00A174B5" w:rsidRDefault="00A174B5" w:rsidP="00F95921">
      <w:r>
        <w:t>Hemos mostrado logros valiosos de las actividades de las Jornadas. Los mismos t</w:t>
      </w:r>
      <w:r>
        <w:t>o</w:t>
      </w:r>
      <w:r>
        <w:t>man aún más valor si tenemos en cuenta los avatares argentinos en los cincuenta años consecutivos de Jornadas de Finanzas Públicos.</w:t>
      </w:r>
    </w:p>
    <w:p w:rsidR="00A174B5" w:rsidRDefault="00A174B5" w:rsidP="00F37342">
      <w:pPr>
        <w:spacing w:after="0"/>
      </w:pPr>
      <w:r>
        <w:t>Examinaremos brevemente</w:t>
      </w:r>
      <w:r w:rsidR="002A7AD7">
        <w:t xml:space="preserve"> algunos aspectos significativos</w:t>
      </w:r>
      <w:r w:rsidR="00C045A2">
        <w:t xml:space="preserve"> de estos </w:t>
      </w:r>
      <w:r w:rsidR="00C045A2" w:rsidRPr="00C045A2">
        <w:rPr>
          <w:b/>
        </w:rPr>
        <w:t>primeros ci</w:t>
      </w:r>
      <w:r w:rsidR="00C045A2" w:rsidRPr="00C045A2">
        <w:rPr>
          <w:b/>
        </w:rPr>
        <w:t>n</w:t>
      </w:r>
      <w:r w:rsidR="00C045A2" w:rsidRPr="00C045A2">
        <w:rPr>
          <w:b/>
        </w:rPr>
        <w:t>cuenta años</w:t>
      </w:r>
      <w:r w:rsidR="00C045A2">
        <w:t xml:space="preserve"> de Jornadas de Finanzas Públicas</w:t>
      </w:r>
      <w:r w:rsidR="002A7AD7">
        <w:t>. Los mismos nos permitirán valorar aún más los resultados logrados y dan origen a ideas para que las próximas Jornadas tengan el mismo, o aún mayor, éxito, para beneficios de todos.</w:t>
      </w:r>
    </w:p>
    <w:p w:rsidR="00F37342" w:rsidRDefault="00F37342" w:rsidP="002A7AD7">
      <w:pPr>
        <w:spacing w:after="0"/>
        <w:rPr>
          <w:b/>
        </w:rPr>
      </w:pPr>
    </w:p>
    <w:p w:rsidR="002A7AD7" w:rsidRPr="002A7AD7" w:rsidRDefault="002A7AD7" w:rsidP="002A7AD7">
      <w:pPr>
        <w:spacing w:after="0"/>
        <w:rPr>
          <w:b/>
        </w:rPr>
      </w:pPr>
      <w:r>
        <w:rPr>
          <w:b/>
        </w:rPr>
        <w:t>3.1 La economía argentina en los últimos cincuenta años</w:t>
      </w:r>
    </w:p>
    <w:p w:rsidR="00C7217D" w:rsidRDefault="002A7AD7" w:rsidP="00C7217D">
      <w:pPr>
        <w:spacing w:after="0"/>
      </w:pPr>
      <w:r>
        <w:t>La evolución del producto por habitante es un indicador,</w:t>
      </w:r>
      <w:r w:rsidR="00546D1A">
        <w:t xml:space="preserve"> no perfecto pero sí</w:t>
      </w:r>
      <w:r>
        <w:t xml:space="preserve"> sintético y relevante, del desempeño de la economía. </w:t>
      </w:r>
      <w:r w:rsidR="00C7217D">
        <w:t>El</w:t>
      </w:r>
      <w:r>
        <w:t xml:space="preserve"> Gráfico</w:t>
      </w:r>
      <w:r w:rsidR="00C7217D">
        <w:t>s</w:t>
      </w:r>
      <w:r w:rsidR="00651BB0">
        <w:t xml:space="preserve"> 2</w:t>
      </w:r>
      <w:r w:rsidR="00C7217D">
        <w:t xml:space="preserve">  muestra la evolución del </w:t>
      </w:r>
      <w:proofErr w:type="spellStart"/>
      <w:r w:rsidR="00C7217D">
        <w:t>PBIpc</w:t>
      </w:r>
      <w:proofErr w:type="spellEnd"/>
      <w:r w:rsidR="00C7217D">
        <w:t xml:space="preserve"> de Argentina el período 1968-2016.</w:t>
      </w:r>
    </w:p>
    <w:p w:rsidR="00C7217D" w:rsidRDefault="00C7217D" w:rsidP="00F95921"/>
    <w:p w:rsidR="00DF3D70" w:rsidRDefault="00C7217D" w:rsidP="00C7217D">
      <w:pPr>
        <w:spacing w:after="0"/>
        <w:jc w:val="center"/>
      </w:pPr>
      <w:r>
        <w:rPr>
          <w:b/>
        </w:rPr>
        <w:t>Gráfico 2</w:t>
      </w:r>
    </w:p>
    <w:p w:rsidR="00C7217D" w:rsidRPr="00C7217D" w:rsidRDefault="00C7217D" w:rsidP="00C7217D">
      <w:pPr>
        <w:jc w:val="center"/>
        <w:rPr>
          <w:rFonts w:eastAsia="Times New Roman"/>
          <w:b/>
          <w:bCs/>
          <w:color w:val="000000"/>
          <w:lang w:val="es-ES" w:eastAsia="es-ES"/>
        </w:rPr>
      </w:pPr>
      <w:r w:rsidRPr="00C7217D">
        <w:rPr>
          <w:rFonts w:eastAsia="Times New Roman"/>
          <w:b/>
          <w:bCs/>
          <w:color w:val="000000"/>
          <w:lang w:val="es-ES" w:eastAsia="es-ES"/>
        </w:rPr>
        <w:t xml:space="preserve">Evolución del </w:t>
      </w:r>
      <w:proofErr w:type="spellStart"/>
      <w:r w:rsidRPr="00C7217D">
        <w:rPr>
          <w:rFonts w:eastAsia="Times New Roman"/>
          <w:b/>
          <w:bCs/>
          <w:color w:val="000000"/>
          <w:lang w:val="es-ES" w:eastAsia="es-ES"/>
        </w:rPr>
        <w:t>PBIpc</w:t>
      </w:r>
      <w:proofErr w:type="spellEnd"/>
      <w:r w:rsidRPr="00C7217D">
        <w:rPr>
          <w:rFonts w:eastAsia="Times New Roman"/>
          <w:b/>
          <w:bCs/>
          <w:color w:val="000000"/>
          <w:lang w:val="es-ES" w:eastAsia="es-ES"/>
        </w:rPr>
        <w:t xml:space="preserve"> - Argentina 1968-2016</w:t>
      </w:r>
    </w:p>
    <w:p w:rsidR="00C7217D" w:rsidRPr="00C7217D" w:rsidRDefault="00C7217D" w:rsidP="00C7217D">
      <w:pPr>
        <w:jc w:val="center"/>
      </w:pPr>
      <w:r>
        <w:rPr>
          <w:noProof/>
          <w:lang w:eastAsia="es-AR"/>
        </w:rPr>
        <w:drawing>
          <wp:inline distT="0" distB="0" distL="0" distR="0" wp14:anchorId="05975A7E" wp14:editId="6CEC944F">
            <wp:extent cx="4572000" cy="27432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F3D70" w:rsidRDefault="00DF3D70" w:rsidP="00F95921"/>
    <w:p w:rsidR="00C7217D" w:rsidRDefault="00C7217D" w:rsidP="00F95921">
      <w:r>
        <w:t xml:space="preserve">El Gráfico 3 completa el anterior mostrando la tasa de variación del </w:t>
      </w:r>
      <w:proofErr w:type="spellStart"/>
      <w:r>
        <w:t>PBIpc</w:t>
      </w:r>
      <w:proofErr w:type="spellEnd"/>
      <w:r>
        <w:t xml:space="preserve"> durante el mismo período</w:t>
      </w:r>
    </w:p>
    <w:p w:rsidR="00C7217D" w:rsidRDefault="00C7217D" w:rsidP="00F95921"/>
    <w:p w:rsidR="00C7217D" w:rsidRDefault="00C7217D" w:rsidP="00C7217D">
      <w:pPr>
        <w:spacing w:after="0"/>
        <w:jc w:val="center"/>
      </w:pPr>
      <w:r>
        <w:rPr>
          <w:b/>
        </w:rPr>
        <w:lastRenderedPageBreak/>
        <w:t>Gráfico 3</w:t>
      </w:r>
    </w:p>
    <w:p w:rsidR="00C7217D" w:rsidRPr="00C7217D" w:rsidRDefault="00C7217D" w:rsidP="00C7217D">
      <w:pPr>
        <w:jc w:val="center"/>
        <w:rPr>
          <w:rFonts w:eastAsia="Times New Roman"/>
          <w:b/>
          <w:bCs/>
          <w:color w:val="000000"/>
          <w:lang w:val="es-ES" w:eastAsia="es-ES"/>
        </w:rPr>
      </w:pPr>
      <w:r>
        <w:rPr>
          <w:rFonts w:eastAsia="Times New Roman"/>
          <w:b/>
          <w:bCs/>
          <w:color w:val="000000"/>
          <w:lang w:val="es-ES" w:eastAsia="es-ES"/>
        </w:rPr>
        <w:t xml:space="preserve">Tasa de variación del </w:t>
      </w:r>
      <w:proofErr w:type="spellStart"/>
      <w:r w:rsidRPr="00C7217D">
        <w:rPr>
          <w:rFonts w:eastAsia="Times New Roman"/>
          <w:b/>
          <w:bCs/>
          <w:color w:val="000000"/>
          <w:lang w:val="es-ES" w:eastAsia="es-ES"/>
        </w:rPr>
        <w:t>PBIpc</w:t>
      </w:r>
      <w:proofErr w:type="spellEnd"/>
      <w:r w:rsidRPr="00C7217D">
        <w:rPr>
          <w:rFonts w:eastAsia="Times New Roman"/>
          <w:b/>
          <w:bCs/>
          <w:color w:val="000000"/>
          <w:lang w:val="es-ES" w:eastAsia="es-ES"/>
        </w:rPr>
        <w:t xml:space="preserve"> - Argentina 1968-2016</w:t>
      </w:r>
    </w:p>
    <w:p w:rsidR="00C7217D" w:rsidRDefault="00C7217D" w:rsidP="00C7217D">
      <w:pPr>
        <w:jc w:val="center"/>
        <w:rPr>
          <w:lang w:val="es-ES"/>
        </w:rPr>
      </w:pPr>
      <w:r>
        <w:rPr>
          <w:noProof/>
          <w:lang w:eastAsia="es-AR"/>
        </w:rPr>
        <w:drawing>
          <wp:inline distT="0" distB="0" distL="0" distR="0" wp14:anchorId="108E0E73" wp14:editId="36ABB32B">
            <wp:extent cx="4572000" cy="27432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217D" w:rsidRDefault="00C7217D" w:rsidP="00C7217D">
      <w:pPr>
        <w:rPr>
          <w:lang w:val="es-ES"/>
        </w:rPr>
      </w:pPr>
    </w:p>
    <w:p w:rsidR="00C7217D" w:rsidRDefault="00C7217D" w:rsidP="00C7217D">
      <w:pPr>
        <w:rPr>
          <w:lang w:val="es-ES"/>
        </w:rPr>
      </w:pPr>
      <w:r>
        <w:rPr>
          <w:lang w:val="es-ES"/>
        </w:rPr>
        <w:t>La consideración conjunta de ambos gráficos permite observar la “precariedad” del desempeño de la economía de nuestro país durante los años considerados.</w:t>
      </w:r>
    </w:p>
    <w:p w:rsidR="00C7217D" w:rsidRDefault="00C7217D" w:rsidP="00C7217D">
      <w:pPr>
        <w:rPr>
          <w:lang w:val="es-ES"/>
        </w:rPr>
      </w:pPr>
      <w:r>
        <w:rPr>
          <w:lang w:val="es-ES"/>
        </w:rPr>
        <w:t>Hubo 31 años de tasas positivas de variac</w:t>
      </w:r>
      <w:r w:rsidR="00885B05">
        <w:rPr>
          <w:lang w:val="es-ES"/>
        </w:rPr>
        <w:t>i</w:t>
      </w:r>
      <w:r>
        <w:rPr>
          <w:lang w:val="es-ES"/>
        </w:rPr>
        <w:t xml:space="preserve">ón (aunque en 3 de ellas el crecimiento es prácticamente nulo) y 18 años de tasas negativas. Es decir, Argentina </w:t>
      </w:r>
      <w:r w:rsidR="00885B05">
        <w:rPr>
          <w:lang w:val="es-ES"/>
        </w:rPr>
        <w:t xml:space="preserve">creció sólo en el 57% del período, disminuyó su </w:t>
      </w:r>
      <w:proofErr w:type="spellStart"/>
      <w:r w:rsidR="00885B05">
        <w:rPr>
          <w:lang w:val="es-ES"/>
        </w:rPr>
        <w:t>PBIpc</w:t>
      </w:r>
      <w:proofErr w:type="spellEnd"/>
      <w:r w:rsidR="00885B05">
        <w:rPr>
          <w:lang w:val="es-ES"/>
        </w:rPr>
        <w:t xml:space="preserve"> en el 37% y el 6% permaneció prácticamente </w:t>
      </w:r>
      <w:proofErr w:type="gramStart"/>
      <w:r w:rsidR="00885B05">
        <w:rPr>
          <w:lang w:val="es-ES"/>
        </w:rPr>
        <w:t>e</w:t>
      </w:r>
      <w:r w:rsidR="00885B05">
        <w:rPr>
          <w:lang w:val="es-ES"/>
        </w:rPr>
        <w:t>s</w:t>
      </w:r>
      <w:r w:rsidR="00885B05">
        <w:rPr>
          <w:lang w:val="es-ES"/>
        </w:rPr>
        <w:t>tancada</w:t>
      </w:r>
      <w:proofErr w:type="gramEnd"/>
      <w:r w:rsidR="00885B05">
        <w:rPr>
          <w:lang w:val="es-ES"/>
        </w:rPr>
        <w:t>. La mayor tasa de variación fue negativa (-11,83% en 2002) y la mayor tasa positiva fue 9,18% (en 1991).</w:t>
      </w:r>
    </w:p>
    <w:p w:rsidR="00885B05" w:rsidRDefault="00885B05" w:rsidP="00C7217D">
      <w:pPr>
        <w:rPr>
          <w:lang w:val="es-ES"/>
        </w:rPr>
      </w:pPr>
      <w:r>
        <w:rPr>
          <w:lang w:val="es-ES"/>
        </w:rPr>
        <w:t>La precariedad mencionada se nota mucho más si comparamos nuestro desempeño económico con el de otros países. Se presentan datos comparativos con dos grupos de países: uno, pertenecientes a la OCDE, son de alto nivel relativo de desarrollo y otro a países de América Latina con características generales que permiten una co</w:t>
      </w:r>
      <w:r>
        <w:rPr>
          <w:lang w:val="es-ES"/>
        </w:rPr>
        <w:t>m</w:t>
      </w:r>
      <w:r>
        <w:rPr>
          <w:lang w:val="es-ES"/>
        </w:rPr>
        <w:t xml:space="preserve">paración válida con Argentina. </w:t>
      </w:r>
      <w:r w:rsidR="00C61CDD">
        <w:rPr>
          <w:lang w:val="es-ES"/>
        </w:rPr>
        <w:t xml:space="preserve">Las </w:t>
      </w:r>
      <w:r>
        <w:rPr>
          <w:lang w:val="es-ES"/>
        </w:rPr>
        <w:t xml:space="preserve">comparaciones </w:t>
      </w:r>
      <w:r w:rsidR="00C61CDD">
        <w:rPr>
          <w:lang w:val="es-ES"/>
        </w:rPr>
        <w:t>del Cuadro 6 muestran los porce</w:t>
      </w:r>
      <w:r w:rsidR="00C61CDD">
        <w:rPr>
          <w:lang w:val="es-ES"/>
        </w:rPr>
        <w:t>n</w:t>
      </w:r>
      <w:r w:rsidR="00C61CDD">
        <w:rPr>
          <w:lang w:val="es-ES"/>
        </w:rPr>
        <w:t>tajes de crecimiento en cada país entre 1968 y 2010.</w:t>
      </w:r>
    </w:p>
    <w:p w:rsidR="00C61CDD" w:rsidRDefault="00C61CDD" w:rsidP="00C61CDD">
      <w:pPr>
        <w:spacing w:after="0"/>
        <w:jc w:val="center"/>
        <w:rPr>
          <w:b/>
          <w:lang w:val="es-ES"/>
        </w:rPr>
      </w:pPr>
      <w:r>
        <w:rPr>
          <w:b/>
          <w:lang w:val="es-ES"/>
        </w:rPr>
        <w:t>Cuadro 6</w:t>
      </w:r>
    </w:p>
    <w:p w:rsidR="00C61CDD" w:rsidRPr="00C61CDD" w:rsidRDefault="00C61CDD" w:rsidP="00C61CDD">
      <w:pPr>
        <w:jc w:val="center"/>
        <w:rPr>
          <w:b/>
          <w:lang w:val="es-ES"/>
        </w:rPr>
      </w:pPr>
      <w:r>
        <w:rPr>
          <w:b/>
          <w:lang w:val="es-ES"/>
        </w:rPr>
        <w:t>Comparaciones internacionales</w:t>
      </w:r>
    </w:p>
    <w:tbl>
      <w:tblPr>
        <w:tblW w:w="4909" w:type="dxa"/>
        <w:jc w:val="center"/>
        <w:tblInd w:w="55" w:type="dxa"/>
        <w:tblCellMar>
          <w:left w:w="70" w:type="dxa"/>
          <w:right w:w="70" w:type="dxa"/>
        </w:tblCellMar>
        <w:tblLook w:val="04A0" w:firstRow="1" w:lastRow="0" w:firstColumn="1" w:lastColumn="0" w:noHBand="0" w:noVBand="1"/>
      </w:tblPr>
      <w:tblGrid>
        <w:gridCol w:w="1309"/>
        <w:gridCol w:w="1200"/>
        <w:gridCol w:w="1200"/>
        <w:gridCol w:w="1200"/>
      </w:tblGrid>
      <w:tr w:rsidR="00885B05" w:rsidRPr="00885B05" w:rsidTr="00885B05">
        <w:trPr>
          <w:trHeight w:val="300"/>
          <w:jc w:val="center"/>
        </w:trPr>
        <w:tc>
          <w:tcPr>
            <w:tcW w:w="1309"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b/>
                <w:bCs/>
                <w:color w:val="000000"/>
                <w:lang w:val="es-ES" w:eastAsia="es-ES"/>
              </w:rPr>
            </w:pP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b/>
                <w:bCs/>
                <w:color w:val="000000"/>
                <w:lang w:val="es-ES" w:eastAsia="es-ES"/>
              </w:rPr>
            </w:pP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b/>
                <w:bCs/>
                <w:color w:val="000000"/>
                <w:lang w:val="es-ES" w:eastAsia="es-ES"/>
              </w:rPr>
            </w:pPr>
            <w:r w:rsidRPr="00885B05">
              <w:rPr>
                <w:rFonts w:ascii="Calibri" w:eastAsia="Times New Roman" w:hAnsi="Calibri" w:cs="Calibri"/>
                <w:b/>
                <w:bCs/>
                <w:color w:val="000000"/>
                <w:lang w:val="es-ES" w:eastAsia="es-ES"/>
              </w:rPr>
              <w:t>Países</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p>
        </w:tc>
      </w:tr>
      <w:tr w:rsidR="00885B05" w:rsidRPr="00885B05" w:rsidTr="00885B05">
        <w:trPr>
          <w:trHeight w:val="300"/>
          <w:jc w:val="center"/>
        </w:trPr>
        <w:tc>
          <w:tcPr>
            <w:tcW w:w="1309"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b/>
                <w:bCs/>
                <w:color w:val="000000"/>
                <w:lang w:val="es-ES" w:eastAsia="es-ES"/>
              </w:rPr>
            </w:pPr>
            <w:r w:rsidRPr="00885B05">
              <w:rPr>
                <w:rFonts w:ascii="Calibri" w:eastAsia="Times New Roman" w:hAnsi="Calibri" w:cs="Calibri"/>
                <w:b/>
                <w:bCs/>
                <w:color w:val="000000"/>
                <w:lang w:val="es-ES" w:eastAsia="es-ES"/>
              </w:rPr>
              <w:t xml:space="preserve">Países </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b/>
                <w:bCs/>
                <w:color w:val="000000"/>
                <w:lang w:val="es-ES" w:eastAsia="es-ES"/>
              </w:rPr>
            </w:pP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b/>
                <w:bCs/>
                <w:color w:val="000000"/>
                <w:lang w:val="es-ES" w:eastAsia="es-ES"/>
              </w:rPr>
            </w:pPr>
            <w:r w:rsidRPr="00885B05">
              <w:rPr>
                <w:rFonts w:ascii="Calibri" w:eastAsia="Times New Roman" w:hAnsi="Calibri" w:cs="Calibri"/>
                <w:b/>
                <w:bCs/>
                <w:color w:val="000000"/>
                <w:lang w:val="es-ES" w:eastAsia="es-ES"/>
              </w:rPr>
              <w:t xml:space="preserve">América </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p>
        </w:tc>
      </w:tr>
      <w:tr w:rsidR="00885B05" w:rsidRPr="00885B05" w:rsidTr="00885B05">
        <w:trPr>
          <w:trHeight w:val="300"/>
          <w:jc w:val="center"/>
        </w:trPr>
        <w:tc>
          <w:tcPr>
            <w:tcW w:w="1309"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b/>
                <w:bCs/>
                <w:color w:val="000000"/>
                <w:lang w:val="es-ES" w:eastAsia="es-ES"/>
              </w:rPr>
            </w:pPr>
            <w:r w:rsidRPr="00885B05">
              <w:rPr>
                <w:rFonts w:ascii="Calibri" w:eastAsia="Times New Roman" w:hAnsi="Calibri" w:cs="Calibri"/>
                <w:b/>
                <w:bCs/>
                <w:color w:val="000000"/>
                <w:lang w:val="es-ES" w:eastAsia="es-ES"/>
              </w:rPr>
              <w:t>OCDE</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b/>
                <w:bCs/>
                <w:color w:val="000000"/>
                <w:lang w:val="es-ES" w:eastAsia="es-ES"/>
              </w:rPr>
            </w:pPr>
            <w:r w:rsidRPr="00885B05">
              <w:rPr>
                <w:rFonts w:ascii="Calibri" w:eastAsia="Times New Roman" w:hAnsi="Calibri" w:cs="Calibri"/>
                <w:b/>
                <w:bCs/>
                <w:color w:val="000000"/>
                <w:lang w:val="es-ES" w:eastAsia="es-ES"/>
              </w:rPr>
              <w:t>Porcentaje</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b/>
                <w:bCs/>
                <w:color w:val="000000"/>
                <w:lang w:val="es-ES" w:eastAsia="es-ES"/>
              </w:rPr>
            </w:pPr>
            <w:r w:rsidRPr="00885B05">
              <w:rPr>
                <w:rFonts w:ascii="Calibri" w:eastAsia="Times New Roman" w:hAnsi="Calibri" w:cs="Calibri"/>
                <w:b/>
                <w:bCs/>
                <w:color w:val="000000"/>
                <w:lang w:val="es-ES" w:eastAsia="es-ES"/>
              </w:rPr>
              <w:t>Latina</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b/>
                <w:bCs/>
                <w:color w:val="000000"/>
                <w:lang w:val="es-ES" w:eastAsia="es-ES"/>
              </w:rPr>
            </w:pPr>
            <w:r w:rsidRPr="00885B05">
              <w:rPr>
                <w:rFonts w:ascii="Calibri" w:eastAsia="Times New Roman" w:hAnsi="Calibri" w:cs="Calibri"/>
                <w:b/>
                <w:bCs/>
                <w:color w:val="000000"/>
                <w:lang w:val="es-ES" w:eastAsia="es-ES"/>
              </w:rPr>
              <w:t>Porcentaje</w:t>
            </w:r>
          </w:p>
        </w:tc>
      </w:tr>
      <w:tr w:rsidR="00885B05" w:rsidRPr="00885B05" w:rsidTr="00885B05">
        <w:trPr>
          <w:trHeight w:val="300"/>
          <w:jc w:val="center"/>
        </w:trPr>
        <w:tc>
          <w:tcPr>
            <w:tcW w:w="1309"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Alemania</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 xml:space="preserve">109,46 </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Brasil</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 xml:space="preserve">154,50 </w:t>
            </w:r>
          </w:p>
        </w:tc>
      </w:tr>
      <w:tr w:rsidR="00885B05" w:rsidRPr="00885B05" w:rsidTr="00885B05">
        <w:trPr>
          <w:trHeight w:val="300"/>
          <w:jc w:val="center"/>
        </w:trPr>
        <w:tc>
          <w:tcPr>
            <w:tcW w:w="1309"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Australia</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 xml:space="preserve">129,49 </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Chile</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 xml:space="preserve">170,73 </w:t>
            </w:r>
          </w:p>
        </w:tc>
      </w:tr>
      <w:tr w:rsidR="00885B05" w:rsidRPr="00885B05" w:rsidTr="00885B05">
        <w:trPr>
          <w:trHeight w:val="300"/>
          <w:jc w:val="center"/>
        </w:trPr>
        <w:tc>
          <w:tcPr>
            <w:tcW w:w="1309"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Canadá</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 xml:space="preserve">117,28 </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Colombia</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 xml:space="preserve">145,76 </w:t>
            </w:r>
          </w:p>
        </w:tc>
      </w:tr>
      <w:tr w:rsidR="00885B05" w:rsidRPr="00885B05" w:rsidTr="00885B05">
        <w:trPr>
          <w:trHeight w:val="300"/>
          <w:jc w:val="center"/>
        </w:trPr>
        <w:tc>
          <w:tcPr>
            <w:tcW w:w="1309"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Corea del Sur</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 xml:space="preserve">1.097,63 </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México</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 xml:space="preserve">89,44 </w:t>
            </w:r>
          </w:p>
        </w:tc>
      </w:tr>
      <w:tr w:rsidR="00885B05" w:rsidRPr="00885B05" w:rsidTr="00885B05">
        <w:trPr>
          <w:trHeight w:val="300"/>
          <w:jc w:val="center"/>
        </w:trPr>
        <w:tc>
          <w:tcPr>
            <w:tcW w:w="1309"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España</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 xml:space="preserve">379,55 </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Perú</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 xml:space="preserve">56,69 </w:t>
            </w:r>
          </w:p>
        </w:tc>
      </w:tr>
      <w:tr w:rsidR="00885B05" w:rsidRPr="00885B05" w:rsidTr="00885B05">
        <w:trPr>
          <w:trHeight w:val="300"/>
          <w:jc w:val="center"/>
        </w:trPr>
        <w:tc>
          <w:tcPr>
            <w:tcW w:w="1309"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Estado Un</w:t>
            </w:r>
            <w:r w:rsidRPr="00885B05">
              <w:rPr>
                <w:rFonts w:ascii="Calibri" w:eastAsia="Times New Roman" w:hAnsi="Calibri" w:cs="Calibri"/>
                <w:color w:val="000000"/>
                <w:lang w:val="es-ES" w:eastAsia="es-ES"/>
              </w:rPr>
              <w:t>i</w:t>
            </w:r>
            <w:r w:rsidRPr="00885B05">
              <w:rPr>
                <w:rFonts w:ascii="Calibri" w:eastAsia="Times New Roman" w:hAnsi="Calibri" w:cs="Calibri"/>
                <w:color w:val="000000"/>
                <w:lang w:val="es-ES" w:eastAsia="es-ES"/>
              </w:rPr>
              <w:t>dos</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 xml:space="preserve">105,15 </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Uruguay</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 xml:space="preserve">142,81 </w:t>
            </w:r>
          </w:p>
        </w:tc>
      </w:tr>
      <w:tr w:rsidR="00885B05" w:rsidRPr="00885B05" w:rsidTr="00885B05">
        <w:trPr>
          <w:trHeight w:val="300"/>
          <w:jc w:val="center"/>
        </w:trPr>
        <w:tc>
          <w:tcPr>
            <w:tcW w:w="1309"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Italia</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 xml:space="preserve">120,95 </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Venezuela</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r w:rsidRPr="00885B05">
              <w:rPr>
                <w:rFonts w:ascii="Calibri" w:eastAsia="Times New Roman" w:hAnsi="Calibri" w:cs="Calibri"/>
                <w:color w:val="000000"/>
                <w:lang w:val="es-ES" w:eastAsia="es-ES"/>
              </w:rPr>
              <w:t>(3,66)</w:t>
            </w:r>
          </w:p>
        </w:tc>
      </w:tr>
      <w:tr w:rsidR="00885B05" w:rsidRPr="00885B05" w:rsidTr="00885B05">
        <w:trPr>
          <w:trHeight w:val="300"/>
          <w:jc w:val="center"/>
        </w:trPr>
        <w:tc>
          <w:tcPr>
            <w:tcW w:w="1309"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color w:val="000000"/>
                <w:lang w:val="es-ES" w:eastAsia="es-ES"/>
              </w:rPr>
            </w:pPr>
          </w:p>
        </w:tc>
      </w:tr>
      <w:tr w:rsidR="00885B05" w:rsidRPr="00885B05" w:rsidTr="00885B05">
        <w:trPr>
          <w:trHeight w:val="300"/>
          <w:jc w:val="center"/>
        </w:trPr>
        <w:tc>
          <w:tcPr>
            <w:tcW w:w="1309"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b/>
                <w:bCs/>
                <w:color w:val="000000"/>
                <w:lang w:val="es-ES" w:eastAsia="es-ES"/>
              </w:rPr>
            </w:pPr>
            <w:r w:rsidRPr="00885B05">
              <w:rPr>
                <w:rFonts w:ascii="Calibri" w:eastAsia="Times New Roman" w:hAnsi="Calibri" w:cs="Calibri"/>
                <w:b/>
                <w:bCs/>
                <w:color w:val="000000"/>
                <w:lang w:val="es-ES" w:eastAsia="es-ES"/>
              </w:rPr>
              <w:t>Argentina</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jc w:val="center"/>
              <w:rPr>
                <w:rFonts w:ascii="Calibri" w:eastAsia="Times New Roman" w:hAnsi="Calibri" w:cs="Calibri"/>
                <w:b/>
                <w:bCs/>
                <w:color w:val="000000"/>
                <w:lang w:val="es-ES" w:eastAsia="es-ES"/>
              </w:rPr>
            </w:pPr>
            <w:r w:rsidRPr="00885B05">
              <w:rPr>
                <w:rFonts w:ascii="Calibri" w:eastAsia="Times New Roman" w:hAnsi="Calibri" w:cs="Calibri"/>
                <w:b/>
                <w:bCs/>
                <w:color w:val="000000"/>
                <w:lang w:val="es-ES" w:eastAsia="es-ES"/>
              </w:rPr>
              <w:t>55,91 %</w:t>
            </w:r>
          </w:p>
        </w:tc>
        <w:tc>
          <w:tcPr>
            <w:tcW w:w="1200" w:type="dxa"/>
            <w:tcBorders>
              <w:top w:val="nil"/>
              <w:left w:val="nil"/>
              <w:bottom w:val="nil"/>
              <w:right w:val="nil"/>
            </w:tcBorders>
            <w:shd w:val="clear" w:color="auto" w:fill="auto"/>
            <w:noWrap/>
            <w:vAlign w:val="bottom"/>
            <w:hideMark/>
          </w:tcPr>
          <w:p w:rsidR="00885B05" w:rsidRPr="00885B05" w:rsidRDefault="00885B05" w:rsidP="00885B05">
            <w:pPr>
              <w:spacing w:after="0"/>
              <w:rPr>
                <w:rFonts w:ascii="Calibri" w:eastAsia="Times New Roman" w:hAnsi="Calibri" w:cs="Calibri"/>
                <w:color w:val="000000"/>
                <w:lang w:val="es-ES" w:eastAsia="es-ES"/>
              </w:rPr>
            </w:pPr>
          </w:p>
        </w:tc>
      </w:tr>
    </w:tbl>
    <w:p w:rsidR="00885B05" w:rsidRPr="00C7217D" w:rsidRDefault="00885B05" w:rsidP="00C7217D">
      <w:pPr>
        <w:rPr>
          <w:lang w:val="es-ES"/>
        </w:rPr>
      </w:pPr>
    </w:p>
    <w:p w:rsidR="001A3B4B" w:rsidRDefault="00871B6B" w:rsidP="00B16C9A">
      <w:pPr>
        <w:spacing w:after="0"/>
        <w:jc w:val="center"/>
        <w:rPr>
          <w:b/>
        </w:rPr>
      </w:pPr>
      <w:r>
        <w:rPr>
          <w:b/>
        </w:rPr>
        <w:t>Cuadro 7</w:t>
      </w:r>
    </w:p>
    <w:p w:rsidR="00871B6B" w:rsidRDefault="00871B6B" w:rsidP="00B16C9A">
      <w:pPr>
        <w:spacing w:after="0"/>
        <w:jc w:val="center"/>
        <w:rPr>
          <w:b/>
        </w:rPr>
      </w:pPr>
      <w:r>
        <w:rPr>
          <w:b/>
        </w:rPr>
        <w:t>Comparaciones internacionales</w:t>
      </w:r>
    </w:p>
    <w:p w:rsidR="00871B6B" w:rsidRPr="00871B6B" w:rsidRDefault="00871B6B" w:rsidP="00B16C9A">
      <w:pPr>
        <w:spacing w:after="0"/>
        <w:jc w:val="center"/>
        <w:rPr>
          <w:b/>
        </w:rPr>
      </w:pPr>
      <w:r>
        <w:rPr>
          <w:b/>
        </w:rPr>
        <w:t>Números índices</w:t>
      </w:r>
    </w:p>
    <w:tbl>
      <w:tblPr>
        <w:tblW w:w="18281" w:type="dxa"/>
        <w:tblInd w:w="55" w:type="dxa"/>
        <w:tblCellMar>
          <w:left w:w="70" w:type="dxa"/>
          <w:right w:w="70" w:type="dxa"/>
        </w:tblCellMar>
        <w:tblLook w:val="04A0" w:firstRow="1" w:lastRow="0" w:firstColumn="1" w:lastColumn="0" w:noHBand="0" w:noVBand="1"/>
      </w:tblPr>
      <w:tblGrid>
        <w:gridCol w:w="8461"/>
        <w:gridCol w:w="1200"/>
        <w:gridCol w:w="1420"/>
        <w:gridCol w:w="1200"/>
        <w:gridCol w:w="1200"/>
        <w:gridCol w:w="1200"/>
        <w:gridCol w:w="1200"/>
        <w:gridCol w:w="1200"/>
        <w:gridCol w:w="1200"/>
      </w:tblGrid>
      <w:tr w:rsidR="001A3B4B" w:rsidRPr="001A3B4B" w:rsidTr="00871B6B">
        <w:trPr>
          <w:trHeight w:val="300"/>
        </w:trPr>
        <w:tc>
          <w:tcPr>
            <w:tcW w:w="8461" w:type="dxa"/>
            <w:tcBorders>
              <w:top w:val="nil"/>
              <w:left w:val="nil"/>
              <w:bottom w:val="nil"/>
              <w:right w:val="nil"/>
            </w:tcBorders>
            <w:shd w:val="clear" w:color="auto" w:fill="auto"/>
            <w:noWrap/>
            <w:vAlign w:val="bottom"/>
          </w:tcPr>
          <w:tbl>
            <w:tblPr>
              <w:tblW w:w="8220" w:type="dxa"/>
              <w:tblCellMar>
                <w:left w:w="70" w:type="dxa"/>
                <w:right w:w="70" w:type="dxa"/>
              </w:tblCellMar>
              <w:tblLook w:val="04A0" w:firstRow="1" w:lastRow="0" w:firstColumn="1" w:lastColumn="0" w:noHBand="0" w:noVBand="1"/>
            </w:tblPr>
            <w:tblGrid>
              <w:gridCol w:w="587"/>
              <w:gridCol w:w="1020"/>
              <w:gridCol w:w="1000"/>
              <w:gridCol w:w="940"/>
              <w:gridCol w:w="1000"/>
              <w:gridCol w:w="1000"/>
              <w:gridCol w:w="776"/>
              <w:gridCol w:w="898"/>
              <w:gridCol w:w="1100"/>
            </w:tblGrid>
            <w:tr w:rsidR="00871B6B" w:rsidRPr="00871B6B" w:rsidTr="00871B6B">
              <w:trPr>
                <w:trHeight w:val="300"/>
              </w:trPr>
              <w:tc>
                <w:tcPr>
                  <w:tcW w:w="520" w:type="dxa"/>
                  <w:tcBorders>
                    <w:top w:val="nil"/>
                    <w:left w:val="nil"/>
                    <w:bottom w:val="nil"/>
                    <w:right w:val="nil"/>
                  </w:tcBorders>
                  <w:shd w:val="clear" w:color="auto" w:fill="auto"/>
                  <w:noWrap/>
                  <w:vAlign w:val="bottom"/>
                  <w:hideMark/>
                </w:tcPr>
                <w:p w:rsidR="00871B6B" w:rsidRDefault="00871B6B" w:rsidP="00871B6B">
                  <w:pPr>
                    <w:spacing w:after="0"/>
                    <w:rPr>
                      <w:rFonts w:ascii="Calibri" w:eastAsia="Times New Roman" w:hAnsi="Calibri" w:cs="Calibri"/>
                      <w:color w:val="000000"/>
                      <w:lang w:val="es-ES" w:eastAsia="es-ES"/>
                    </w:rPr>
                  </w:pPr>
                </w:p>
                <w:p w:rsidR="00871B6B" w:rsidRDefault="00871B6B" w:rsidP="00871B6B">
                  <w:pPr>
                    <w:spacing w:after="0"/>
                    <w:rPr>
                      <w:rFonts w:ascii="Calibri" w:eastAsia="Times New Roman" w:hAnsi="Calibri" w:cs="Calibri"/>
                      <w:color w:val="000000"/>
                      <w:lang w:val="es-ES" w:eastAsia="es-ES"/>
                    </w:rPr>
                  </w:pPr>
                </w:p>
                <w:p w:rsidR="00871B6B" w:rsidRDefault="00871B6B" w:rsidP="00871B6B">
                  <w:pPr>
                    <w:spacing w:after="0"/>
                    <w:rPr>
                      <w:rFonts w:ascii="Calibri" w:eastAsia="Times New Roman" w:hAnsi="Calibri" w:cs="Calibri"/>
                      <w:color w:val="000000"/>
                      <w:lang w:val="es-ES" w:eastAsia="es-ES"/>
                    </w:rPr>
                  </w:pPr>
                </w:p>
                <w:p w:rsidR="00871B6B" w:rsidRPr="00871B6B" w:rsidRDefault="00871B6B" w:rsidP="00871B6B">
                  <w:pPr>
                    <w:spacing w:after="0"/>
                    <w:rPr>
                      <w:rFonts w:ascii="Calibri" w:eastAsia="Times New Roman" w:hAnsi="Calibri" w:cs="Calibri"/>
                      <w:color w:val="000000"/>
                      <w:lang w:val="es-ES" w:eastAsia="es-ES"/>
                    </w:rPr>
                  </w:pPr>
                </w:p>
              </w:tc>
              <w:tc>
                <w:tcPr>
                  <w:tcW w:w="102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Argentina</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Alemania</w:t>
                  </w:r>
                </w:p>
              </w:tc>
              <w:tc>
                <w:tcPr>
                  <w:tcW w:w="94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Australia</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Canadá</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Corea Sur</w:t>
                  </w:r>
                </w:p>
              </w:tc>
              <w:tc>
                <w:tcPr>
                  <w:tcW w:w="76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España</w:t>
                  </w:r>
                </w:p>
              </w:tc>
              <w:tc>
                <w:tcPr>
                  <w:tcW w:w="88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EEUU</w:t>
                  </w:r>
                </w:p>
              </w:tc>
              <w:tc>
                <w:tcPr>
                  <w:tcW w:w="11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Italia</w:t>
                  </w:r>
                </w:p>
              </w:tc>
            </w:tr>
            <w:tr w:rsidR="00871B6B" w:rsidRPr="00871B6B" w:rsidTr="00871B6B">
              <w:trPr>
                <w:trHeight w:val="300"/>
              </w:trPr>
              <w:tc>
                <w:tcPr>
                  <w:tcW w:w="52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1968</w:t>
                  </w:r>
                </w:p>
              </w:tc>
              <w:tc>
                <w:tcPr>
                  <w:tcW w:w="102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c>
                <w:tcPr>
                  <w:tcW w:w="94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c>
                <w:tcPr>
                  <w:tcW w:w="76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c>
                <w:tcPr>
                  <w:tcW w:w="88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c>
                <w:tcPr>
                  <w:tcW w:w="11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r>
            <w:tr w:rsidR="00871B6B" w:rsidRPr="00871B6B" w:rsidTr="00871B6B">
              <w:trPr>
                <w:trHeight w:val="300"/>
              </w:trPr>
              <w:tc>
                <w:tcPr>
                  <w:tcW w:w="52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2010</w:t>
                  </w:r>
                </w:p>
              </w:tc>
              <w:tc>
                <w:tcPr>
                  <w:tcW w:w="102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156 </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209 </w:t>
                  </w:r>
                </w:p>
              </w:tc>
              <w:tc>
                <w:tcPr>
                  <w:tcW w:w="94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229 </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217 </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1.198 </w:t>
                  </w:r>
                </w:p>
              </w:tc>
              <w:tc>
                <w:tcPr>
                  <w:tcW w:w="76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480 </w:t>
                  </w:r>
                </w:p>
              </w:tc>
              <w:tc>
                <w:tcPr>
                  <w:tcW w:w="88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205 </w:t>
                  </w:r>
                </w:p>
              </w:tc>
              <w:tc>
                <w:tcPr>
                  <w:tcW w:w="11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221 </w:t>
                  </w:r>
                </w:p>
              </w:tc>
            </w:tr>
            <w:tr w:rsidR="00871B6B" w:rsidRPr="00871B6B" w:rsidTr="00871B6B">
              <w:trPr>
                <w:trHeight w:val="300"/>
              </w:trPr>
              <w:tc>
                <w:tcPr>
                  <w:tcW w:w="520" w:type="dxa"/>
                  <w:tcBorders>
                    <w:top w:val="nil"/>
                    <w:left w:val="nil"/>
                    <w:bottom w:val="nil"/>
                    <w:right w:val="nil"/>
                  </w:tcBorders>
                  <w:shd w:val="clear" w:color="auto" w:fill="auto"/>
                  <w:noWrap/>
                  <w:vAlign w:val="bottom"/>
                  <w:hideMark/>
                </w:tcPr>
                <w:p w:rsidR="00871B6B" w:rsidRPr="00871B6B" w:rsidRDefault="00871B6B" w:rsidP="00871B6B">
                  <w:pPr>
                    <w:spacing w:after="0"/>
                    <w:rPr>
                      <w:rFonts w:ascii="Calibri" w:eastAsia="Times New Roman" w:hAnsi="Calibri" w:cs="Calibri"/>
                      <w:color w:val="000000"/>
                      <w:lang w:val="es-ES" w:eastAsia="es-ES"/>
                    </w:rPr>
                  </w:pPr>
                </w:p>
              </w:tc>
              <w:tc>
                <w:tcPr>
                  <w:tcW w:w="102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p>
              </w:tc>
              <w:tc>
                <w:tcPr>
                  <w:tcW w:w="94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p>
              </w:tc>
              <w:tc>
                <w:tcPr>
                  <w:tcW w:w="76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p>
              </w:tc>
              <w:tc>
                <w:tcPr>
                  <w:tcW w:w="88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p>
              </w:tc>
              <w:tc>
                <w:tcPr>
                  <w:tcW w:w="11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p>
              </w:tc>
            </w:tr>
            <w:tr w:rsidR="00871B6B" w:rsidRPr="00871B6B" w:rsidTr="00871B6B">
              <w:trPr>
                <w:trHeight w:val="300"/>
              </w:trPr>
              <w:tc>
                <w:tcPr>
                  <w:tcW w:w="520" w:type="dxa"/>
                  <w:tcBorders>
                    <w:top w:val="nil"/>
                    <w:left w:val="nil"/>
                    <w:bottom w:val="nil"/>
                    <w:right w:val="nil"/>
                  </w:tcBorders>
                  <w:shd w:val="clear" w:color="auto" w:fill="auto"/>
                  <w:noWrap/>
                  <w:vAlign w:val="bottom"/>
                  <w:hideMark/>
                </w:tcPr>
                <w:p w:rsidR="00871B6B" w:rsidRPr="00871B6B" w:rsidRDefault="00871B6B" w:rsidP="00871B6B">
                  <w:pPr>
                    <w:spacing w:after="0"/>
                    <w:rPr>
                      <w:rFonts w:ascii="Calibri" w:eastAsia="Times New Roman" w:hAnsi="Calibri" w:cs="Calibri"/>
                      <w:color w:val="000000"/>
                      <w:lang w:val="es-ES" w:eastAsia="es-ES"/>
                    </w:rPr>
                  </w:pPr>
                </w:p>
              </w:tc>
              <w:tc>
                <w:tcPr>
                  <w:tcW w:w="102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Argentina</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Brasil</w:t>
                  </w:r>
                </w:p>
              </w:tc>
              <w:tc>
                <w:tcPr>
                  <w:tcW w:w="94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Chile</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Colombia</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México</w:t>
                  </w:r>
                </w:p>
              </w:tc>
              <w:tc>
                <w:tcPr>
                  <w:tcW w:w="76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Perú</w:t>
                  </w:r>
                </w:p>
              </w:tc>
              <w:tc>
                <w:tcPr>
                  <w:tcW w:w="88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Uruguay</w:t>
                  </w:r>
                </w:p>
              </w:tc>
              <w:tc>
                <w:tcPr>
                  <w:tcW w:w="11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Venezuela</w:t>
                  </w:r>
                </w:p>
              </w:tc>
            </w:tr>
            <w:tr w:rsidR="00871B6B" w:rsidRPr="00871B6B" w:rsidTr="00871B6B">
              <w:trPr>
                <w:trHeight w:val="300"/>
              </w:trPr>
              <w:tc>
                <w:tcPr>
                  <w:tcW w:w="52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1968</w:t>
                  </w:r>
                </w:p>
              </w:tc>
              <w:tc>
                <w:tcPr>
                  <w:tcW w:w="102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c>
                <w:tcPr>
                  <w:tcW w:w="94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c>
                <w:tcPr>
                  <w:tcW w:w="76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c>
                <w:tcPr>
                  <w:tcW w:w="88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c>
                <w:tcPr>
                  <w:tcW w:w="11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100 </w:t>
                  </w:r>
                </w:p>
              </w:tc>
            </w:tr>
            <w:tr w:rsidR="00871B6B" w:rsidRPr="00871B6B" w:rsidTr="00871B6B">
              <w:trPr>
                <w:trHeight w:val="300"/>
              </w:trPr>
              <w:tc>
                <w:tcPr>
                  <w:tcW w:w="52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2010</w:t>
                  </w:r>
                </w:p>
              </w:tc>
              <w:tc>
                <w:tcPr>
                  <w:tcW w:w="102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156 </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254 </w:t>
                  </w:r>
                </w:p>
              </w:tc>
              <w:tc>
                <w:tcPr>
                  <w:tcW w:w="94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271 </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246 </w:t>
                  </w:r>
                </w:p>
              </w:tc>
              <w:tc>
                <w:tcPr>
                  <w:tcW w:w="10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189 </w:t>
                  </w:r>
                </w:p>
              </w:tc>
              <w:tc>
                <w:tcPr>
                  <w:tcW w:w="76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157 </w:t>
                  </w:r>
                </w:p>
              </w:tc>
              <w:tc>
                <w:tcPr>
                  <w:tcW w:w="88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243 </w:t>
                  </w:r>
                </w:p>
              </w:tc>
              <w:tc>
                <w:tcPr>
                  <w:tcW w:w="1100" w:type="dxa"/>
                  <w:tcBorders>
                    <w:top w:val="nil"/>
                    <w:left w:val="nil"/>
                    <w:bottom w:val="nil"/>
                    <w:right w:val="nil"/>
                  </w:tcBorders>
                  <w:shd w:val="clear" w:color="auto" w:fill="auto"/>
                  <w:noWrap/>
                  <w:vAlign w:val="bottom"/>
                  <w:hideMark/>
                </w:tcPr>
                <w:p w:rsidR="00871B6B" w:rsidRPr="00871B6B" w:rsidRDefault="00871B6B" w:rsidP="00871B6B">
                  <w:pPr>
                    <w:spacing w:after="0"/>
                    <w:jc w:val="center"/>
                    <w:rPr>
                      <w:rFonts w:ascii="Calibri" w:eastAsia="Times New Roman" w:hAnsi="Calibri" w:cs="Calibri"/>
                      <w:color w:val="000000"/>
                      <w:lang w:val="es-ES" w:eastAsia="es-ES"/>
                    </w:rPr>
                  </w:pPr>
                  <w:r w:rsidRPr="00871B6B">
                    <w:rPr>
                      <w:rFonts w:ascii="Calibri" w:eastAsia="Times New Roman" w:hAnsi="Calibri" w:cs="Calibri"/>
                      <w:color w:val="000000"/>
                      <w:lang w:val="es-ES" w:eastAsia="es-ES"/>
                    </w:rPr>
                    <w:t xml:space="preserve">96 </w:t>
                  </w:r>
                </w:p>
              </w:tc>
            </w:tr>
          </w:tbl>
          <w:p w:rsidR="001A3B4B" w:rsidRPr="001A3B4B" w:rsidRDefault="001A3B4B" w:rsidP="001A3B4B">
            <w:pPr>
              <w:spacing w:after="0"/>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Default="001A3B4B" w:rsidP="001A3B4B">
            <w:pPr>
              <w:spacing w:after="0"/>
              <w:jc w:val="center"/>
              <w:rPr>
                <w:rFonts w:ascii="Calibri" w:eastAsia="Times New Roman" w:hAnsi="Calibri" w:cs="Calibri"/>
                <w:color w:val="000000"/>
                <w:lang w:val="es-ES" w:eastAsia="es-ES"/>
              </w:rPr>
            </w:pPr>
          </w:p>
          <w:p w:rsidR="00871B6B" w:rsidRDefault="00871B6B" w:rsidP="001A3B4B">
            <w:pPr>
              <w:spacing w:after="0"/>
              <w:jc w:val="center"/>
              <w:rPr>
                <w:rFonts w:ascii="Calibri" w:eastAsia="Times New Roman" w:hAnsi="Calibri" w:cs="Calibri"/>
                <w:color w:val="000000"/>
                <w:lang w:val="es-ES" w:eastAsia="es-ES"/>
              </w:rPr>
            </w:pPr>
          </w:p>
          <w:p w:rsidR="00871B6B" w:rsidRDefault="00871B6B" w:rsidP="001A3B4B">
            <w:pPr>
              <w:spacing w:after="0"/>
              <w:jc w:val="center"/>
              <w:rPr>
                <w:rFonts w:ascii="Calibri" w:eastAsia="Times New Roman" w:hAnsi="Calibri" w:cs="Calibri"/>
                <w:color w:val="000000"/>
                <w:lang w:val="es-ES" w:eastAsia="es-ES"/>
              </w:rPr>
            </w:pPr>
          </w:p>
          <w:p w:rsidR="00871B6B" w:rsidRPr="001A3B4B" w:rsidRDefault="00871B6B" w:rsidP="001A3B4B">
            <w:pPr>
              <w:spacing w:after="0"/>
              <w:jc w:val="center"/>
              <w:rPr>
                <w:rFonts w:ascii="Calibri" w:eastAsia="Times New Roman" w:hAnsi="Calibri" w:cs="Calibri"/>
                <w:color w:val="000000"/>
                <w:lang w:val="es-ES" w:eastAsia="es-ES"/>
              </w:rPr>
            </w:pPr>
          </w:p>
        </w:tc>
        <w:tc>
          <w:tcPr>
            <w:tcW w:w="1420" w:type="dxa"/>
            <w:tcBorders>
              <w:top w:val="nil"/>
              <w:left w:val="nil"/>
              <w:bottom w:val="nil"/>
              <w:right w:val="nil"/>
            </w:tcBorders>
            <w:shd w:val="clear" w:color="auto" w:fill="auto"/>
            <w:noWrap/>
            <w:vAlign w:val="bottom"/>
          </w:tcPr>
          <w:p w:rsidR="001A3B4B" w:rsidRPr="001A3B4B" w:rsidRDefault="001A3B4B" w:rsidP="001A3B4B">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center"/>
              <w:rPr>
                <w:rFonts w:ascii="Calibri" w:eastAsia="Times New Roman" w:hAnsi="Calibri" w:cs="Calibri"/>
                <w:color w:val="000000"/>
                <w:lang w:val="es-ES" w:eastAsia="es-ES"/>
              </w:rPr>
            </w:pPr>
          </w:p>
        </w:tc>
      </w:tr>
      <w:tr w:rsidR="001A3B4B" w:rsidRPr="001A3B4B" w:rsidTr="00871B6B">
        <w:trPr>
          <w:trHeight w:val="300"/>
        </w:trPr>
        <w:tc>
          <w:tcPr>
            <w:tcW w:w="8461" w:type="dxa"/>
            <w:tcBorders>
              <w:top w:val="nil"/>
              <w:left w:val="nil"/>
              <w:bottom w:val="nil"/>
              <w:right w:val="nil"/>
            </w:tcBorders>
            <w:shd w:val="clear" w:color="auto" w:fill="auto"/>
            <w:noWrap/>
            <w:vAlign w:val="bottom"/>
          </w:tcPr>
          <w:p w:rsidR="001A3B4B" w:rsidRPr="001A3B4B" w:rsidRDefault="001A3B4B" w:rsidP="001A3B4B">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right"/>
              <w:rPr>
                <w:rFonts w:ascii="Calibri" w:eastAsia="Times New Roman" w:hAnsi="Calibri" w:cs="Calibri"/>
                <w:color w:val="000000"/>
                <w:lang w:val="es-ES" w:eastAsia="es-ES"/>
              </w:rPr>
            </w:pPr>
          </w:p>
        </w:tc>
        <w:tc>
          <w:tcPr>
            <w:tcW w:w="1420" w:type="dxa"/>
            <w:tcBorders>
              <w:top w:val="nil"/>
              <w:left w:val="nil"/>
              <w:bottom w:val="nil"/>
              <w:right w:val="nil"/>
            </w:tcBorders>
            <w:shd w:val="clear" w:color="auto" w:fill="auto"/>
            <w:noWrap/>
            <w:vAlign w:val="bottom"/>
          </w:tcPr>
          <w:p w:rsidR="001A3B4B" w:rsidRPr="001A3B4B" w:rsidRDefault="001A3B4B" w:rsidP="001A3B4B">
            <w:pPr>
              <w:spacing w:after="0"/>
              <w:jc w:val="right"/>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right"/>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right"/>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right"/>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right"/>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right"/>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right"/>
              <w:rPr>
                <w:rFonts w:ascii="Calibri" w:eastAsia="Times New Roman" w:hAnsi="Calibri" w:cs="Calibri"/>
                <w:color w:val="000000"/>
                <w:lang w:val="es-ES" w:eastAsia="es-ES"/>
              </w:rPr>
            </w:pPr>
          </w:p>
        </w:tc>
      </w:tr>
      <w:tr w:rsidR="001A3B4B" w:rsidRPr="001A3B4B" w:rsidTr="00871B6B">
        <w:trPr>
          <w:trHeight w:val="300"/>
        </w:trPr>
        <w:tc>
          <w:tcPr>
            <w:tcW w:w="8461" w:type="dxa"/>
            <w:tcBorders>
              <w:top w:val="nil"/>
              <w:left w:val="nil"/>
              <w:bottom w:val="nil"/>
              <w:right w:val="nil"/>
            </w:tcBorders>
            <w:shd w:val="clear" w:color="auto" w:fill="auto"/>
            <w:noWrap/>
            <w:vAlign w:val="bottom"/>
          </w:tcPr>
          <w:p w:rsidR="001A3B4B" w:rsidRPr="001A3B4B" w:rsidRDefault="001A3B4B" w:rsidP="00871B6B">
            <w:pPr>
              <w:spacing w:after="0"/>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871B6B">
            <w:pPr>
              <w:spacing w:after="0"/>
              <w:rPr>
                <w:rFonts w:ascii="Calibri" w:eastAsia="Times New Roman" w:hAnsi="Calibri" w:cs="Calibri"/>
                <w:color w:val="000000"/>
                <w:lang w:val="es-ES" w:eastAsia="es-ES"/>
              </w:rPr>
            </w:pPr>
          </w:p>
        </w:tc>
        <w:tc>
          <w:tcPr>
            <w:tcW w:w="1420" w:type="dxa"/>
            <w:tcBorders>
              <w:top w:val="nil"/>
              <w:left w:val="nil"/>
              <w:bottom w:val="nil"/>
              <w:right w:val="nil"/>
            </w:tcBorders>
            <w:shd w:val="clear" w:color="auto" w:fill="auto"/>
            <w:noWrap/>
            <w:vAlign w:val="bottom"/>
          </w:tcPr>
          <w:p w:rsidR="001A3B4B" w:rsidRPr="001A3B4B" w:rsidRDefault="001A3B4B" w:rsidP="001A3B4B">
            <w:pPr>
              <w:spacing w:after="0"/>
              <w:jc w:val="right"/>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right"/>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right"/>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right"/>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right"/>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right"/>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1A3B4B" w:rsidRPr="001A3B4B" w:rsidRDefault="001A3B4B" w:rsidP="001A3B4B">
            <w:pPr>
              <w:spacing w:after="0"/>
              <w:jc w:val="right"/>
              <w:rPr>
                <w:rFonts w:ascii="Calibri" w:eastAsia="Times New Roman" w:hAnsi="Calibri" w:cs="Calibri"/>
                <w:color w:val="000000"/>
                <w:lang w:val="es-ES" w:eastAsia="es-ES"/>
              </w:rPr>
            </w:pPr>
          </w:p>
        </w:tc>
      </w:tr>
    </w:tbl>
    <w:p w:rsidR="00C7217D" w:rsidRDefault="00C61CDD" w:rsidP="00F37342">
      <w:pPr>
        <w:spacing w:after="0"/>
      </w:pPr>
      <w:r>
        <w:t xml:space="preserve">La observación de los porcentajes exhibidos en el Cuadro 6 </w:t>
      </w:r>
      <w:r w:rsidR="00871B6B">
        <w:t xml:space="preserve"> y los índ</w:t>
      </w:r>
      <w:r w:rsidR="00F37342">
        <w:t>ic</w:t>
      </w:r>
      <w:r w:rsidR="00871B6B">
        <w:t xml:space="preserve">es del Cuadro 7 </w:t>
      </w:r>
      <w:r>
        <w:t xml:space="preserve">explican por qué Argentina ocupaba, aproximadamente, el puesto 25 en el “ranking” mundial de países según su </w:t>
      </w:r>
      <w:proofErr w:type="spellStart"/>
      <w:r>
        <w:t>PBIpc</w:t>
      </w:r>
      <w:proofErr w:type="spellEnd"/>
      <w:r>
        <w:t xml:space="preserve"> y descendió al puesto 45 en 210</w:t>
      </w:r>
      <w:r>
        <w:rPr>
          <w:rStyle w:val="Refdenotaalpie"/>
        </w:rPr>
        <w:footnoteReference w:id="5"/>
      </w:r>
      <w:r>
        <w:t>.</w:t>
      </w:r>
    </w:p>
    <w:p w:rsidR="00F37342" w:rsidRDefault="00F37342" w:rsidP="004077B1">
      <w:pPr>
        <w:spacing w:after="0"/>
        <w:rPr>
          <w:b/>
        </w:rPr>
      </w:pPr>
    </w:p>
    <w:p w:rsidR="00DF3D70" w:rsidRDefault="00C61CDD" w:rsidP="004077B1">
      <w:pPr>
        <w:spacing w:after="0"/>
        <w:rPr>
          <w:b/>
        </w:rPr>
      </w:pPr>
      <w:r>
        <w:rPr>
          <w:b/>
        </w:rPr>
        <w:t xml:space="preserve">3.2 </w:t>
      </w:r>
      <w:r w:rsidR="004077B1">
        <w:rPr>
          <w:b/>
        </w:rPr>
        <w:t>La evolución de los datos fiscales</w:t>
      </w:r>
    </w:p>
    <w:p w:rsidR="004077B1" w:rsidRDefault="004077B1" w:rsidP="00F95921">
      <w:r>
        <w:t>Mencionaremos los datos principales necesarios para tener una visión general del comportamiento fiscal</w:t>
      </w:r>
      <w:r w:rsidR="008921D2">
        <w:t xml:space="preserve"> del período</w:t>
      </w:r>
      <w:r>
        <w:t>.</w:t>
      </w:r>
      <w:r w:rsidR="00871B6B">
        <w:t xml:space="preserve"> Es muy difícil resumir</w:t>
      </w:r>
      <w:r w:rsidR="00F37342">
        <w:t xml:space="preserve"> el tema</w:t>
      </w:r>
      <w:r w:rsidR="00871B6B">
        <w:t xml:space="preserve"> en pocos párrafos. Los indicadores q</w:t>
      </w:r>
      <w:r w:rsidR="008921D2">
        <w:t xml:space="preserve">ue siguen, no obstante, pueden </w:t>
      </w:r>
      <w:r w:rsidR="00871B6B">
        <w:t>c</w:t>
      </w:r>
      <w:r w:rsidR="008921D2">
        <w:t>a</w:t>
      </w:r>
      <w:r w:rsidR="00871B6B">
        <w:t>racterizar aspectos importantes</w:t>
      </w:r>
      <w:r w:rsidR="00B16C9A">
        <w:rPr>
          <w:rStyle w:val="Refdenotaalpie"/>
        </w:rPr>
        <w:footnoteReference w:id="6"/>
      </w:r>
      <w:r w:rsidR="00871B6B">
        <w:t>.</w:t>
      </w:r>
    </w:p>
    <w:p w:rsidR="00F37342" w:rsidRDefault="00F37342" w:rsidP="00DD43E2">
      <w:pPr>
        <w:spacing w:after="0"/>
        <w:jc w:val="center"/>
        <w:rPr>
          <w:b/>
        </w:rPr>
      </w:pPr>
    </w:p>
    <w:p w:rsidR="008921D2" w:rsidRDefault="00DD43E2" w:rsidP="00DD43E2">
      <w:pPr>
        <w:spacing w:after="0"/>
        <w:jc w:val="center"/>
        <w:rPr>
          <w:b/>
        </w:rPr>
      </w:pPr>
      <w:r>
        <w:rPr>
          <w:b/>
        </w:rPr>
        <w:t>Gráfico 4</w:t>
      </w:r>
    </w:p>
    <w:p w:rsidR="00DD43E2" w:rsidRPr="00B16C9A" w:rsidRDefault="00DD43E2" w:rsidP="00DD43E2">
      <w:pPr>
        <w:jc w:val="center"/>
        <w:rPr>
          <w:i/>
        </w:rPr>
      </w:pPr>
      <w:r w:rsidRPr="00B16C9A">
        <w:rPr>
          <w:b/>
          <w:i/>
        </w:rPr>
        <w:t xml:space="preserve">Gasto público consolidado en porcentaje del </w:t>
      </w:r>
      <w:proofErr w:type="spellStart"/>
      <w:r w:rsidRPr="00B16C9A">
        <w:rPr>
          <w:b/>
          <w:i/>
        </w:rPr>
        <w:t>PBIpm</w:t>
      </w:r>
      <w:proofErr w:type="spellEnd"/>
    </w:p>
    <w:p w:rsidR="00DD43E2" w:rsidRPr="00B16C9A" w:rsidRDefault="00DD43E2" w:rsidP="00DD43E2">
      <w:pPr>
        <w:jc w:val="center"/>
        <w:rPr>
          <w:i/>
        </w:rPr>
      </w:pPr>
      <w:r w:rsidRPr="00B16C9A">
        <w:rPr>
          <w:i/>
          <w:noProof/>
          <w:lang w:eastAsia="es-AR"/>
        </w:rPr>
        <w:drawing>
          <wp:inline distT="0" distB="0" distL="0" distR="0" wp14:anchorId="2F84CF33" wp14:editId="150DAC33">
            <wp:extent cx="4572000" cy="27432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D43E2" w:rsidRDefault="00DD43E2" w:rsidP="00DD43E2">
      <w:pPr>
        <w:spacing w:after="0"/>
      </w:pPr>
    </w:p>
    <w:p w:rsidR="00DD43E2" w:rsidRDefault="00B05A91" w:rsidP="00B05A91">
      <w:r>
        <w:lastRenderedPageBreak/>
        <w:t>La relación, en el período que analizamos, muestra un nivel próximo al 20%, prov</w:t>
      </w:r>
      <w:r>
        <w:t>e</w:t>
      </w:r>
      <w:r>
        <w:t>niente de los años anteriores, que “salta” al 30% en la década del 70 y se mantiene a</w:t>
      </w:r>
      <w:r>
        <w:t>l</w:t>
      </w:r>
      <w:r>
        <w:t>rededor de ese nivel hasta la superación de la crisis 2001-2002. A partir de allí tiene un crecimiento sostenido hasta llegar al</w:t>
      </w:r>
      <w:r w:rsidR="00F37342">
        <w:t>rededor del</w:t>
      </w:r>
      <w:r>
        <w:t xml:space="preserve"> 45% en los últimos años.</w:t>
      </w:r>
    </w:p>
    <w:p w:rsidR="00F37342" w:rsidRDefault="00F37342" w:rsidP="00B05A91">
      <w:pPr>
        <w:spacing w:after="0"/>
        <w:jc w:val="center"/>
        <w:rPr>
          <w:b/>
        </w:rPr>
      </w:pPr>
    </w:p>
    <w:p w:rsidR="00B05A91" w:rsidRDefault="00B05A91" w:rsidP="00B05A91">
      <w:pPr>
        <w:spacing w:after="0"/>
        <w:jc w:val="center"/>
        <w:rPr>
          <w:b/>
        </w:rPr>
      </w:pPr>
      <w:r>
        <w:rPr>
          <w:b/>
        </w:rPr>
        <w:t>Gráfico 5</w:t>
      </w:r>
    </w:p>
    <w:p w:rsidR="00B05A91" w:rsidRDefault="00B05A91" w:rsidP="00B05A91">
      <w:pPr>
        <w:jc w:val="center"/>
        <w:rPr>
          <w:b/>
        </w:rPr>
      </w:pPr>
      <w:r>
        <w:rPr>
          <w:b/>
        </w:rPr>
        <w:t xml:space="preserve">Gasto público de distintos niveles de gobierno en porcentaje del </w:t>
      </w:r>
      <w:proofErr w:type="spellStart"/>
      <w:r>
        <w:rPr>
          <w:b/>
        </w:rPr>
        <w:t>PBIpm</w:t>
      </w:r>
      <w:proofErr w:type="spellEnd"/>
    </w:p>
    <w:p w:rsidR="00B05A91" w:rsidRDefault="00B05A91" w:rsidP="00B05A91">
      <w:pPr>
        <w:jc w:val="center"/>
        <w:rPr>
          <w:b/>
        </w:rPr>
      </w:pPr>
      <w:r>
        <w:rPr>
          <w:noProof/>
          <w:lang w:eastAsia="es-AR"/>
        </w:rPr>
        <w:drawing>
          <wp:inline distT="0" distB="0" distL="0" distR="0" wp14:anchorId="09618FE7" wp14:editId="180876A6">
            <wp:extent cx="4572000" cy="27432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05A91" w:rsidRDefault="00B05A91" w:rsidP="00B05A91">
      <w:pPr>
        <w:spacing w:after="0"/>
        <w:jc w:val="center"/>
        <w:rPr>
          <w:b/>
        </w:rPr>
      </w:pPr>
    </w:p>
    <w:p w:rsidR="00300D1D" w:rsidRDefault="00B05A91" w:rsidP="00B05A91">
      <w:r>
        <w:t>La distribución del gasto por niveles de gobierno confirma que la Nación</w:t>
      </w:r>
      <w:r w:rsidR="00300D1D">
        <w:t>, por su peso relativo mayor, domina el comportamiento del gasto consolidad</w:t>
      </w:r>
      <w:r w:rsidR="00F37342">
        <w:t>o</w:t>
      </w:r>
      <w:r w:rsidR="00300D1D">
        <w:t>. Las Provincia y M</w:t>
      </w:r>
      <w:r w:rsidR="00300D1D">
        <w:t>u</w:t>
      </w:r>
      <w:r w:rsidR="00300D1D">
        <w:t xml:space="preserve">nicipios, en cambio, muestran una trayectoria </w:t>
      </w:r>
      <w:r w:rsidR="00B16C9A">
        <w:t>c</w:t>
      </w:r>
      <w:r w:rsidR="00300D1D">
        <w:t>reciente, más importante en el primer ca</w:t>
      </w:r>
      <w:r w:rsidR="00F37342">
        <w:t>s</w:t>
      </w:r>
      <w:r w:rsidR="00300D1D">
        <w:t>o.</w:t>
      </w:r>
    </w:p>
    <w:p w:rsidR="00F37342" w:rsidRDefault="00F37342" w:rsidP="00B05A91">
      <w:r>
        <w:t>Veamos el comportamiento de la recaudación tributaria</w:t>
      </w:r>
    </w:p>
    <w:p w:rsidR="00B16C9A" w:rsidRDefault="00D15AD9" w:rsidP="00D15AD9">
      <w:pPr>
        <w:spacing w:after="0"/>
        <w:jc w:val="center"/>
        <w:rPr>
          <w:b/>
        </w:rPr>
      </w:pPr>
      <w:r>
        <w:rPr>
          <w:b/>
        </w:rPr>
        <w:t>Gráfico 6</w:t>
      </w:r>
    </w:p>
    <w:p w:rsidR="00D15AD9" w:rsidRPr="00D15AD9" w:rsidRDefault="00D15AD9" w:rsidP="00D15AD9">
      <w:pPr>
        <w:spacing w:after="0"/>
        <w:jc w:val="center"/>
        <w:rPr>
          <w:b/>
        </w:rPr>
      </w:pPr>
      <w:r>
        <w:rPr>
          <w:b/>
        </w:rPr>
        <w:t xml:space="preserve">Recaudación tributaria en porcentaje del </w:t>
      </w:r>
      <w:proofErr w:type="spellStart"/>
      <w:r>
        <w:rPr>
          <w:b/>
        </w:rPr>
        <w:t>PBIpm</w:t>
      </w:r>
      <w:proofErr w:type="spellEnd"/>
    </w:p>
    <w:p w:rsidR="00D15AD9" w:rsidRDefault="00D15AD9" w:rsidP="00B05A91"/>
    <w:p w:rsidR="00B16C9A" w:rsidRDefault="00D15AD9" w:rsidP="00B16C9A">
      <w:pPr>
        <w:jc w:val="center"/>
      </w:pPr>
      <w:r>
        <w:rPr>
          <w:noProof/>
          <w:lang w:eastAsia="es-AR"/>
        </w:rPr>
        <w:drawing>
          <wp:inline distT="0" distB="0" distL="0" distR="0" wp14:anchorId="1E1D6C6A" wp14:editId="24494511">
            <wp:extent cx="4572000" cy="2743200"/>
            <wp:effectExtent l="0" t="0" r="19050" b="190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16C9A" w:rsidRDefault="00B16C9A" w:rsidP="00B16C9A">
      <w:pPr>
        <w:spacing w:after="0"/>
      </w:pPr>
    </w:p>
    <w:p w:rsidR="00D15AD9" w:rsidRDefault="00F37342" w:rsidP="00E13F79">
      <w:r>
        <w:lastRenderedPageBreak/>
        <w:t>El Gráficos 6  muestran la evolución de la recaudación expresada, también, en rel</w:t>
      </w:r>
      <w:r>
        <w:t>a</w:t>
      </w:r>
      <w:r>
        <w:t xml:space="preserve">ción al </w:t>
      </w:r>
      <w:proofErr w:type="spellStart"/>
      <w:r>
        <w:t>PBIpm</w:t>
      </w:r>
      <w:proofErr w:type="spellEnd"/>
      <w:r>
        <w:t xml:space="preserve">. </w:t>
      </w:r>
      <w:r w:rsidR="00D15AD9">
        <w:t>La falta de serie</w:t>
      </w:r>
      <w:r>
        <w:t>s</w:t>
      </w:r>
      <w:r w:rsidR="00D15AD9">
        <w:t xml:space="preserve"> homogéneas de la recaudación </w:t>
      </w:r>
      <w:r>
        <w:t>de</w:t>
      </w:r>
      <w:r w:rsidR="00D15AD9">
        <w:t xml:space="preserve"> provincias y mun</w:t>
      </w:r>
      <w:r w:rsidR="00D15AD9">
        <w:t>i</w:t>
      </w:r>
      <w:r w:rsidR="00D15AD9">
        <w:t xml:space="preserve">cipios que abarquen todo el período, impiden contar con un panorama completo. </w:t>
      </w:r>
      <w:proofErr w:type="spellStart"/>
      <w:r w:rsidR="00D15AD9">
        <w:t>Aún</w:t>
      </w:r>
      <w:proofErr w:type="spellEnd"/>
      <w:r w:rsidR="00D15AD9">
        <w:t xml:space="preserve"> así, puede verse que la presión tributaria ha aumentado significativamente a los largo del período considerado. La recaudación nacional se duplicó en su relación con el </w:t>
      </w:r>
      <w:proofErr w:type="spellStart"/>
      <w:r w:rsidR="00D15AD9">
        <w:t>PBIpm</w:t>
      </w:r>
      <w:proofErr w:type="spellEnd"/>
      <w:r w:rsidR="00D15AD9">
        <w:t xml:space="preserve">, algo similar sucede con la recaudación provincial y un poco menos en el caso de municipios. Lo que el gráfico muestra claramente es que la nación </w:t>
      </w:r>
      <w:r w:rsidR="00E13F79">
        <w:t>recauda más de tres cuartas partes del total. La cuestión está en el centro de los problemas de nuestro federalismo fiscal.</w:t>
      </w:r>
    </w:p>
    <w:p w:rsidR="00E13F79" w:rsidRDefault="00E13F79" w:rsidP="00B16C9A">
      <w:pPr>
        <w:spacing w:after="0"/>
      </w:pPr>
      <w:r>
        <w:t xml:space="preserve">Los resultados fiscales tienen una importancia sustancial que el Gráfico 7 permite </w:t>
      </w:r>
      <w:proofErr w:type="spellStart"/>
      <w:r>
        <w:t>a</w:t>
      </w:r>
      <w:r>
        <w:t>d</w:t>
      </w:r>
      <w:r>
        <w:t>verter</w:t>
      </w:r>
      <w:proofErr w:type="spellEnd"/>
      <w:r>
        <w:t>.</w:t>
      </w:r>
    </w:p>
    <w:p w:rsidR="00E13F79" w:rsidRDefault="00E13F79" w:rsidP="00B16C9A">
      <w:pPr>
        <w:spacing w:after="0"/>
      </w:pPr>
    </w:p>
    <w:p w:rsidR="00E13F79" w:rsidRDefault="00E13F79" w:rsidP="00E13F79">
      <w:pPr>
        <w:spacing w:after="0"/>
        <w:jc w:val="center"/>
        <w:rPr>
          <w:b/>
        </w:rPr>
      </w:pPr>
      <w:r w:rsidRPr="00E13F79">
        <w:rPr>
          <w:b/>
        </w:rPr>
        <w:t>Gráfico 7</w:t>
      </w:r>
    </w:p>
    <w:p w:rsidR="00E13F79" w:rsidRDefault="00E13F79" w:rsidP="00E13F79">
      <w:pPr>
        <w:spacing w:after="0"/>
        <w:jc w:val="center"/>
        <w:rPr>
          <w:b/>
        </w:rPr>
      </w:pPr>
      <w:r>
        <w:rPr>
          <w:b/>
        </w:rPr>
        <w:t xml:space="preserve">Resultados fiscales en porcentaje del </w:t>
      </w:r>
      <w:proofErr w:type="spellStart"/>
      <w:r>
        <w:rPr>
          <w:b/>
        </w:rPr>
        <w:t>PBIpm</w:t>
      </w:r>
      <w:proofErr w:type="spellEnd"/>
    </w:p>
    <w:p w:rsidR="00E13F79" w:rsidRDefault="00E13F79" w:rsidP="00E13F79">
      <w:pPr>
        <w:spacing w:after="0"/>
        <w:jc w:val="center"/>
        <w:rPr>
          <w:b/>
        </w:rPr>
      </w:pPr>
    </w:p>
    <w:p w:rsidR="00E13F79" w:rsidRDefault="00E13F79" w:rsidP="00E13F79">
      <w:pPr>
        <w:spacing w:after="0"/>
        <w:jc w:val="center"/>
        <w:rPr>
          <w:b/>
        </w:rPr>
      </w:pPr>
      <w:r>
        <w:rPr>
          <w:noProof/>
          <w:lang w:eastAsia="es-AR"/>
        </w:rPr>
        <w:drawing>
          <wp:inline distT="0" distB="0" distL="0" distR="0" wp14:anchorId="3EAA0742" wp14:editId="45C86FDE">
            <wp:extent cx="4572000" cy="2743200"/>
            <wp:effectExtent l="0" t="0" r="19050"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13F79" w:rsidRDefault="00E13F79" w:rsidP="00E13F79">
      <w:pPr>
        <w:spacing w:after="0"/>
        <w:jc w:val="center"/>
        <w:rPr>
          <w:b/>
        </w:rPr>
      </w:pPr>
    </w:p>
    <w:p w:rsidR="00E13F79" w:rsidRDefault="00E13F79" w:rsidP="004819B2">
      <w:r w:rsidRPr="00E13F79">
        <w:t>En los 48</w:t>
      </w:r>
      <w:r w:rsidR="004819B2">
        <w:t xml:space="preserve"> años considerados sólo 4 muestran superávit y 2 un resultado equilibrado. Si sumamos los resultados llegamos a reunir </w:t>
      </w:r>
      <w:r w:rsidR="004819B2">
        <w:rPr>
          <w:b/>
        </w:rPr>
        <w:t>dos veces</w:t>
      </w:r>
      <w:r w:rsidR="004819B2">
        <w:t xml:space="preserve"> el </w:t>
      </w:r>
      <w:proofErr w:type="spellStart"/>
      <w:r w:rsidR="004819B2">
        <w:t>PBIpm</w:t>
      </w:r>
      <w:proofErr w:type="spellEnd"/>
      <w:r w:rsidR="004819B2">
        <w:t xml:space="preserve">. El </w:t>
      </w:r>
      <w:proofErr w:type="spellStart"/>
      <w:r w:rsidR="004819B2">
        <w:t>señoriaje</w:t>
      </w:r>
      <w:proofErr w:type="spellEnd"/>
      <w:r w:rsidR="004819B2">
        <w:t xml:space="preserve"> no ha s</w:t>
      </w:r>
      <w:r w:rsidR="004819B2">
        <w:t>i</w:t>
      </w:r>
      <w:r w:rsidR="004819B2">
        <w:t>do una fue</w:t>
      </w:r>
      <w:r w:rsidR="00F37342">
        <w:t>nte importante de financiamiento.</w:t>
      </w:r>
      <w:r w:rsidR="004819B2">
        <w:t xml:space="preserve"> </w:t>
      </w:r>
      <w:r w:rsidR="00F37342">
        <w:t>E</w:t>
      </w:r>
      <w:r w:rsidR="004819B2">
        <w:t xml:space="preserve">l aumento de la demanda de dinero no ha aportado muchos más de un 5% del </w:t>
      </w:r>
      <w:proofErr w:type="spellStart"/>
      <w:r w:rsidR="004819B2">
        <w:t>PBIpm</w:t>
      </w:r>
      <w:proofErr w:type="spellEnd"/>
      <w:r w:rsidR="004819B2">
        <w:t>, dado que el crecimiento del período ha sido del 56%  con activos monetarios no remunerados en poder del público que ro</w:t>
      </w:r>
      <w:r w:rsidR="004819B2">
        <w:t>n</w:t>
      </w:r>
      <w:r w:rsidR="004819B2">
        <w:t>dan el 10% del producto. La deuda pública actual se aproxima a un 60%, de manera que inflación y default ha sido la manera principal de afrontar el financiamiento del d</w:t>
      </w:r>
      <w:r w:rsidR="004819B2">
        <w:t>é</w:t>
      </w:r>
      <w:r w:rsidR="004819B2">
        <w:t>ficit. No es el momento de analizar la responsabilidad del comportamiento fiscal en el magro nivel de crecimiento que mostramos en la Sección 3,1, pero es evidente que forma parte de las principales razones que lo explican.</w:t>
      </w:r>
    </w:p>
    <w:p w:rsidR="004819B2" w:rsidRPr="004819B2" w:rsidRDefault="004819B2" w:rsidP="00E13F79">
      <w:pPr>
        <w:spacing w:after="0"/>
      </w:pPr>
      <w:r>
        <w:t>Tampoco es la oportunidad para debatir el alcance de la relación entre resultado fiscal e inflación, pero si cabe destacar que durant</w:t>
      </w:r>
      <w:r w:rsidR="00B4196E">
        <w:t>e el medio siglo de la vida de las Jorn</w:t>
      </w:r>
      <w:r w:rsidR="00B4196E">
        <w:t>a</w:t>
      </w:r>
      <w:r w:rsidR="00B4196E">
        <w:t xml:space="preserve">das, nuestra moneda perdió 13 ceros en cuatro ocasiones: el 1 de enero de 1970, el 1 de junio de 1983, el 1 de junio de 1985 y el 1 de enero de 1992. </w:t>
      </w:r>
      <w:r w:rsidR="000259CC">
        <w:t>La inflación p</w:t>
      </w:r>
      <w:r w:rsidR="005637F5">
        <w:t>r</w:t>
      </w:r>
      <w:r w:rsidR="000259CC">
        <w:t>o</w:t>
      </w:r>
      <w:r w:rsidR="005637F5">
        <w:t>m</w:t>
      </w:r>
      <w:r w:rsidR="000259CC">
        <w:t>edio d</w:t>
      </w:r>
      <w:r w:rsidR="005637F5">
        <w:t>e</w:t>
      </w:r>
      <w:r w:rsidR="000259CC">
        <w:t xml:space="preserve"> 50 años fue superio</w:t>
      </w:r>
      <w:r w:rsidR="005637F5">
        <w:t>r al 100% y tuvo picos de 3.079%</w:t>
      </w:r>
      <w:r w:rsidR="000259CC">
        <w:t xml:space="preserve"> en 1989 y 2.314% en 1990 en episodios hiperinflacionarios</w:t>
      </w:r>
      <w:r w:rsidR="000259CC">
        <w:rPr>
          <w:rStyle w:val="Refdenotaalpie"/>
        </w:rPr>
        <w:footnoteReference w:id="7"/>
      </w:r>
      <w:r w:rsidR="000259CC">
        <w:t>.</w:t>
      </w:r>
    </w:p>
    <w:p w:rsidR="00B16C9A" w:rsidRDefault="00B16C9A" w:rsidP="00B16C9A">
      <w:pPr>
        <w:spacing w:after="0"/>
      </w:pPr>
    </w:p>
    <w:p w:rsidR="000259CC" w:rsidRDefault="000259CC" w:rsidP="00B16C9A">
      <w:pPr>
        <w:spacing w:after="0"/>
        <w:rPr>
          <w:b/>
        </w:rPr>
      </w:pPr>
      <w:r>
        <w:rPr>
          <w:b/>
        </w:rPr>
        <w:t>3.3 El contexto institucional</w:t>
      </w:r>
    </w:p>
    <w:p w:rsidR="000259CC" w:rsidRDefault="000259CC" w:rsidP="000259CC">
      <w:r>
        <w:t>Algunos datos institucionales ayudan a completar el contexto.</w:t>
      </w:r>
      <w:r w:rsidR="005637F5">
        <w:t xml:space="preserve"> E</w:t>
      </w:r>
    </w:p>
    <w:p w:rsidR="005637F5" w:rsidRDefault="005637F5" w:rsidP="000259CC">
      <w:r>
        <w:lastRenderedPageBreak/>
        <w:t>No abundan los datos cuantitativos sobre las condiciones de la vida institucional de Argentina. Pero podemos elaborar algunos indicadores que ayudan a comprender la evolución.</w:t>
      </w:r>
    </w:p>
    <w:p w:rsidR="000259CC" w:rsidRDefault="000259CC" w:rsidP="000259CC">
      <w:r>
        <w:t>En los 50 años transcurridos entre 1968 y nuestros días ha habido 21 períodos pres</w:t>
      </w:r>
      <w:r>
        <w:t>i</w:t>
      </w:r>
      <w:r>
        <w:t xml:space="preserve">denciales (con 19 presidentes distintos, </w:t>
      </w:r>
      <w:r w:rsidR="005637F5">
        <w:t xml:space="preserve">puesto </w:t>
      </w:r>
      <w:r>
        <w:t>que hubo 2 reelecciones). Dado que la reforma cons</w:t>
      </w:r>
      <w:r w:rsidR="00E274A4">
        <w:t>t</w:t>
      </w:r>
      <w:r>
        <w:t>itucional de 1994 redujo de 6 a 4 años la duración del período preside</w:t>
      </w:r>
      <w:r>
        <w:t>n</w:t>
      </w:r>
      <w:r>
        <w:t xml:space="preserve">cial, la duración promedio del período es 5 años y 1 mes. </w:t>
      </w:r>
      <w:r w:rsidR="005637F5">
        <w:t xml:space="preserve">Teniendo en cuenta </w:t>
      </w:r>
      <w:r w:rsidR="00E274A4">
        <w:t xml:space="preserve">que los 21 períodos presidenciales implican un promedio de 2 años y 5 meses, se deduce que el promedio de duración real fue el 47% del que </w:t>
      </w:r>
      <w:r w:rsidR="005637F5">
        <w:t xml:space="preserve">establecían </w:t>
      </w:r>
      <w:r w:rsidR="00E274A4">
        <w:t>las normas institucionales.</w:t>
      </w:r>
    </w:p>
    <w:p w:rsidR="00E274A4" w:rsidRDefault="00E274A4" w:rsidP="000259CC">
      <w:r>
        <w:t>Es interesante, también, considerar las características institucionales del origen y la f</w:t>
      </w:r>
      <w:r>
        <w:t>i</w:t>
      </w:r>
      <w:r>
        <w:t>nalización de los mandatos presidenciales. Se puede distinguir, al respecto, si el or</w:t>
      </w:r>
      <w:r>
        <w:t>i</w:t>
      </w:r>
      <w:r>
        <w:t xml:space="preserve">gen y la finalización </w:t>
      </w:r>
      <w:proofErr w:type="gramStart"/>
      <w:r>
        <w:t>fue</w:t>
      </w:r>
      <w:proofErr w:type="gramEnd"/>
      <w:r>
        <w:t xml:space="preserve"> institucional o no institucional, y, además, en el caso instituci</w:t>
      </w:r>
      <w:r>
        <w:t>o</w:t>
      </w:r>
      <w:r>
        <w:t xml:space="preserve">nal, </w:t>
      </w:r>
      <w:r w:rsidR="005637F5">
        <w:t xml:space="preserve">si </w:t>
      </w:r>
      <w:r>
        <w:t>corresponde a circunstancia</w:t>
      </w:r>
      <w:r w:rsidR="005637F5">
        <w:t>s</w:t>
      </w:r>
      <w:r>
        <w:t xml:space="preserve"> normales o excepcionales. </w:t>
      </w:r>
    </w:p>
    <w:p w:rsidR="00E274A4" w:rsidRDefault="00E274A4" w:rsidP="00E274A4">
      <w:pPr>
        <w:spacing w:after="0"/>
      </w:pPr>
    </w:p>
    <w:p w:rsidR="00E274A4" w:rsidRDefault="00E274A4" w:rsidP="00E274A4">
      <w:pPr>
        <w:spacing w:after="0"/>
        <w:jc w:val="center"/>
        <w:rPr>
          <w:b/>
        </w:rPr>
      </w:pPr>
      <w:r>
        <w:rPr>
          <w:b/>
        </w:rPr>
        <w:t>Cuadro 7</w:t>
      </w:r>
    </w:p>
    <w:p w:rsidR="00E274A4" w:rsidRDefault="00E274A4" w:rsidP="00E274A4">
      <w:pPr>
        <w:spacing w:after="0"/>
        <w:jc w:val="center"/>
        <w:rPr>
          <w:b/>
        </w:rPr>
      </w:pPr>
      <w:r>
        <w:rPr>
          <w:b/>
        </w:rPr>
        <w:t>Características institucionales</w:t>
      </w:r>
    </w:p>
    <w:p w:rsidR="00E274A4" w:rsidRDefault="00E274A4" w:rsidP="00E274A4">
      <w:pPr>
        <w:spacing w:after="0"/>
        <w:jc w:val="center"/>
      </w:pPr>
      <w:proofErr w:type="gramStart"/>
      <w:r>
        <w:rPr>
          <w:b/>
        </w:rPr>
        <w:t>del</w:t>
      </w:r>
      <w:proofErr w:type="gramEnd"/>
      <w:r>
        <w:rPr>
          <w:b/>
        </w:rPr>
        <w:t xml:space="preserve"> origen y finalización de períodos presidenciales</w:t>
      </w:r>
    </w:p>
    <w:p w:rsidR="00E274A4" w:rsidRDefault="00E274A4" w:rsidP="00E274A4">
      <w:pPr>
        <w:spacing w:after="0"/>
        <w:jc w:val="center"/>
      </w:pPr>
    </w:p>
    <w:tbl>
      <w:tblPr>
        <w:tblW w:w="7227" w:type="dxa"/>
        <w:tblInd w:w="899" w:type="dxa"/>
        <w:tblCellMar>
          <w:left w:w="70" w:type="dxa"/>
          <w:right w:w="70" w:type="dxa"/>
        </w:tblCellMar>
        <w:tblLook w:val="04A0" w:firstRow="1" w:lastRow="0" w:firstColumn="1" w:lastColumn="0" w:noHBand="0" w:noVBand="1"/>
      </w:tblPr>
      <w:tblGrid>
        <w:gridCol w:w="1547"/>
        <w:gridCol w:w="1546"/>
        <w:gridCol w:w="1547"/>
        <w:gridCol w:w="1295"/>
        <w:gridCol w:w="1292"/>
      </w:tblGrid>
      <w:tr w:rsidR="00E274A4" w:rsidRPr="00E274A4" w:rsidTr="00C53C5F">
        <w:trPr>
          <w:trHeight w:val="320"/>
        </w:trPr>
        <w:tc>
          <w:tcPr>
            <w:tcW w:w="4640" w:type="dxa"/>
            <w:gridSpan w:val="3"/>
            <w:tcBorders>
              <w:top w:val="nil"/>
              <w:left w:val="nil"/>
              <w:bottom w:val="nil"/>
              <w:right w:val="nil"/>
            </w:tcBorders>
            <w:shd w:val="clear" w:color="auto" w:fill="auto"/>
            <w:noWrap/>
            <w:vAlign w:val="bottom"/>
            <w:hideMark/>
          </w:tcPr>
          <w:p w:rsidR="00E274A4" w:rsidRPr="00E274A4" w:rsidRDefault="00E274A4" w:rsidP="00E274A4">
            <w:pPr>
              <w:spacing w:after="0"/>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Origen y finalización institucional-normal</w:t>
            </w:r>
          </w:p>
        </w:tc>
        <w:tc>
          <w:tcPr>
            <w:tcW w:w="1295" w:type="dxa"/>
            <w:tcBorders>
              <w:top w:val="nil"/>
              <w:left w:val="nil"/>
              <w:bottom w:val="nil"/>
              <w:right w:val="nil"/>
            </w:tcBorders>
            <w:shd w:val="clear" w:color="auto" w:fill="auto"/>
            <w:noWrap/>
            <w:vAlign w:val="bottom"/>
            <w:hideMark/>
          </w:tcPr>
          <w:p w:rsidR="00E274A4" w:rsidRPr="00E274A4" w:rsidRDefault="00E274A4" w:rsidP="00E274A4">
            <w:pPr>
              <w:spacing w:after="0"/>
              <w:rPr>
                <w:rFonts w:ascii="Calibri" w:eastAsia="Times New Roman" w:hAnsi="Calibri" w:cs="Calibri"/>
                <w:color w:val="000000"/>
                <w:lang w:val="es-ES" w:eastAsia="es-ES"/>
              </w:rPr>
            </w:pPr>
          </w:p>
        </w:tc>
        <w:tc>
          <w:tcPr>
            <w:tcW w:w="1292" w:type="dxa"/>
            <w:tcBorders>
              <w:top w:val="nil"/>
              <w:left w:val="nil"/>
              <w:bottom w:val="nil"/>
              <w:right w:val="nil"/>
            </w:tcBorders>
            <w:shd w:val="clear" w:color="auto" w:fill="auto"/>
            <w:noWrap/>
            <w:vAlign w:val="bottom"/>
            <w:hideMark/>
          </w:tcPr>
          <w:p w:rsidR="00E274A4" w:rsidRPr="00E274A4" w:rsidRDefault="00E274A4" w:rsidP="00E274A4">
            <w:pPr>
              <w:spacing w:after="0"/>
              <w:jc w:val="center"/>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5</w:t>
            </w:r>
          </w:p>
        </w:tc>
      </w:tr>
      <w:tr w:rsidR="00E274A4" w:rsidRPr="00E274A4" w:rsidTr="00C53C5F">
        <w:trPr>
          <w:trHeight w:val="320"/>
        </w:trPr>
        <w:tc>
          <w:tcPr>
            <w:tcW w:w="4640" w:type="dxa"/>
            <w:gridSpan w:val="3"/>
            <w:tcBorders>
              <w:top w:val="nil"/>
              <w:left w:val="nil"/>
              <w:bottom w:val="nil"/>
              <w:right w:val="nil"/>
            </w:tcBorders>
            <w:shd w:val="clear" w:color="auto" w:fill="auto"/>
            <w:noWrap/>
            <w:vAlign w:val="bottom"/>
            <w:hideMark/>
          </w:tcPr>
          <w:p w:rsidR="00E274A4" w:rsidRPr="00E274A4" w:rsidRDefault="00E274A4" w:rsidP="00E274A4">
            <w:pPr>
              <w:spacing w:after="0"/>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Origen y finalización no institucional</w:t>
            </w:r>
          </w:p>
        </w:tc>
        <w:tc>
          <w:tcPr>
            <w:tcW w:w="1295" w:type="dxa"/>
            <w:tcBorders>
              <w:top w:val="nil"/>
              <w:left w:val="nil"/>
              <w:bottom w:val="nil"/>
              <w:right w:val="nil"/>
            </w:tcBorders>
            <w:shd w:val="clear" w:color="auto" w:fill="auto"/>
            <w:noWrap/>
            <w:vAlign w:val="bottom"/>
            <w:hideMark/>
          </w:tcPr>
          <w:p w:rsidR="00E274A4" w:rsidRPr="00E274A4" w:rsidRDefault="00E274A4" w:rsidP="00E274A4">
            <w:pPr>
              <w:spacing w:after="0"/>
              <w:rPr>
                <w:rFonts w:ascii="Calibri" w:eastAsia="Times New Roman" w:hAnsi="Calibri" w:cs="Calibri"/>
                <w:color w:val="000000"/>
                <w:lang w:val="es-ES" w:eastAsia="es-ES"/>
              </w:rPr>
            </w:pPr>
          </w:p>
        </w:tc>
        <w:tc>
          <w:tcPr>
            <w:tcW w:w="1292" w:type="dxa"/>
            <w:tcBorders>
              <w:top w:val="nil"/>
              <w:left w:val="nil"/>
              <w:bottom w:val="nil"/>
              <w:right w:val="nil"/>
            </w:tcBorders>
            <w:shd w:val="clear" w:color="auto" w:fill="auto"/>
            <w:noWrap/>
            <w:vAlign w:val="bottom"/>
            <w:hideMark/>
          </w:tcPr>
          <w:p w:rsidR="00E274A4" w:rsidRPr="00E274A4" w:rsidRDefault="00E274A4" w:rsidP="00E274A4">
            <w:pPr>
              <w:spacing w:after="0"/>
              <w:jc w:val="center"/>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5</w:t>
            </w:r>
          </w:p>
        </w:tc>
      </w:tr>
      <w:tr w:rsidR="00E274A4" w:rsidRPr="00E274A4" w:rsidTr="00C53C5F">
        <w:trPr>
          <w:trHeight w:val="320"/>
        </w:trPr>
        <w:tc>
          <w:tcPr>
            <w:tcW w:w="5935" w:type="dxa"/>
            <w:gridSpan w:val="4"/>
            <w:tcBorders>
              <w:top w:val="nil"/>
              <w:left w:val="nil"/>
              <w:bottom w:val="nil"/>
              <w:right w:val="nil"/>
            </w:tcBorders>
            <w:shd w:val="clear" w:color="auto" w:fill="auto"/>
            <w:noWrap/>
            <w:vAlign w:val="bottom"/>
            <w:hideMark/>
          </w:tcPr>
          <w:p w:rsidR="00E274A4" w:rsidRPr="00E274A4" w:rsidRDefault="00847C02" w:rsidP="00E274A4">
            <w:pPr>
              <w:spacing w:after="0"/>
              <w:rPr>
                <w:rFonts w:ascii="Calibri" w:eastAsia="Times New Roman" w:hAnsi="Calibri" w:cs="Calibri"/>
                <w:color w:val="000000"/>
                <w:lang w:val="es-ES" w:eastAsia="es-ES"/>
              </w:rPr>
            </w:pPr>
            <w:r>
              <w:rPr>
                <w:rFonts w:ascii="Calibri" w:eastAsia="Times New Roman" w:hAnsi="Calibri" w:cs="Calibri"/>
                <w:color w:val="000000"/>
                <w:lang w:val="es-ES" w:eastAsia="es-ES"/>
              </w:rPr>
              <w:t>Orige</w:t>
            </w:r>
            <w:r w:rsidR="00E274A4" w:rsidRPr="00E274A4">
              <w:rPr>
                <w:rFonts w:ascii="Calibri" w:eastAsia="Times New Roman" w:hAnsi="Calibri" w:cs="Calibri"/>
                <w:color w:val="000000"/>
                <w:lang w:val="es-ES" w:eastAsia="es-ES"/>
              </w:rPr>
              <w:t>n institucional y finalización no institucional</w:t>
            </w:r>
          </w:p>
        </w:tc>
        <w:tc>
          <w:tcPr>
            <w:tcW w:w="1292" w:type="dxa"/>
            <w:tcBorders>
              <w:top w:val="nil"/>
              <w:left w:val="nil"/>
              <w:bottom w:val="nil"/>
              <w:right w:val="nil"/>
            </w:tcBorders>
            <w:shd w:val="clear" w:color="auto" w:fill="auto"/>
            <w:noWrap/>
            <w:vAlign w:val="bottom"/>
            <w:hideMark/>
          </w:tcPr>
          <w:p w:rsidR="00E274A4" w:rsidRPr="00E274A4" w:rsidRDefault="00E274A4" w:rsidP="00E274A4">
            <w:pPr>
              <w:spacing w:after="0"/>
              <w:jc w:val="center"/>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1</w:t>
            </w:r>
          </w:p>
        </w:tc>
      </w:tr>
      <w:tr w:rsidR="00E274A4" w:rsidRPr="00E274A4" w:rsidTr="00C53C5F">
        <w:trPr>
          <w:trHeight w:val="320"/>
        </w:trPr>
        <w:tc>
          <w:tcPr>
            <w:tcW w:w="5935" w:type="dxa"/>
            <w:gridSpan w:val="4"/>
            <w:tcBorders>
              <w:top w:val="nil"/>
              <w:left w:val="nil"/>
              <w:bottom w:val="nil"/>
              <w:right w:val="nil"/>
            </w:tcBorders>
            <w:shd w:val="clear" w:color="auto" w:fill="auto"/>
            <w:noWrap/>
            <w:vAlign w:val="bottom"/>
            <w:hideMark/>
          </w:tcPr>
          <w:p w:rsidR="00E274A4" w:rsidRPr="00E274A4" w:rsidRDefault="00E274A4" w:rsidP="00E274A4">
            <w:pPr>
              <w:spacing w:after="0"/>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Origen institucional y finalización institucional excepcional</w:t>
            </w:r>
          </w:p>
        </w:tc>
        <w:tc>
          <w:tcPr>
            <w:tcW w:w="1292" w:type="dxa"/>
            <w:tcBorders>
              <w:top w:val="nil"/>
              <w:left w:val="nil"/>
              <w:bottom w:val="nil"/>
              <w:right w:val="nil"/>
            </w:tcBorders>
            <w:shd w:val="clear" w:color="auto" w:fill="auto"/>
            <w:noWrap/>
            <w:vAlign w:val="bottom"/>
            <w:hideMark/>
          </w:tcPr>
          <w:p w:rsidR="00E274A4" w:rsidRPr="00E274A4" w:rsidRDefault="00E274A4" w:rsidP="00E274A4">
            <w:pPr>
              <w:spacing w:after="0"/>
              <w:jc w:val="center"/>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4</w:t>
            </w:r>
          </w:p>
        </w:tc>
      </w:tr>
      <w:tr w:rsidR="00E274A4" w:rsidRPr="00E274A4" w:rsidTr="00C53C5F">
        <w:trPr>
          <w:trHeight w:val="320"/>
        </w:trPr>
        <w:tc>
          <w:tcPr>
            <w:tcW w:w="5935" w:type="dxa"/>
            <w:gridSpan w:val="4"/>
            <w:tcBorders>
              <w:top w:val="nil"/>
              <w:left w:val="nil"/>
              <w:bottom w:val="nil"/>
              <w:right w:val="nil"/>
            </w:tcBorders>
            <w:shd w:val="clear" w:color="auto" w:fill="auto"/>
            <w:noWrap/>
            <w:vAlign w:val="bottom"/>
            <w:hideMark/>
          </w:tcPr>
          <w:p w:rsidR="00E274A4" w:rsidRPr="00E274A4" w:rsidRDefault="00E274A4" w:rsidP="00E274A4">
            <w:pPr>
              <w:spacing w:after="0"/>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 xml:space="preserve">Origen institucional excepcional y finalización </w:t>
            </w:r>
            <w:proofErr w:type="spellStart"/>
            <w:r w:rsidRPr="00E274A4">
              <w:rPr>
                <w:rFonts w:ascii="Calibri" w:eastAsia="Times New Roman" w:hAnsi="Calibri" w:cs="Calibri"/>
                <w:color w:val="000000"/>
                <w:lang w:val="es-ES" w:eastAsia="es-ES"/>
              </w:rPr>
              <w:t>instit</w:t>
            </w:r>
            <w:proofErr w:type="spellEnd"/>
            <w:r w:rsidRPr="00E274A4">
              <w:rPr>
                <w:rFonts w:ascii="Calibri" w:eastAsia="Times New Roman" w:hAnsi="Calibri" w:cs="Calibri"/>
                <w:color w:val="000000"/>
                <w:lang w:val="es-ES" w:eastAsia="es-ES"/>
              </w:rPr>
              <w:t>-normal</w:t>
            </w:r>
          </w:p>
        </w:tc>
        <w:tc>
          <w:tcPr>
            <w:tcW w:w="1292" w:type="dxa"/>
            <w:tcBorders>
              <w:top w:val="nil"/>
              <w:left w:val="nil"/>
              <w:bottom w:val="nil"/>
              <w:right w:val="nil"/>
            </w:tcBorders>
            <w:shd w:val="clear" w:color="auto" w:fill="auto"/>
            <w:noWrap/>
            <w:vAlign w:val="bottom"/>
            <w:hideMark/>
          </w:tcPr>
          <w:p w:rsidR="00E274A4" w:rsidRPr="00E274A4" w:rsidRDefault="00E274A4" w:rsidP="00E274A4">
            <w:pPr>
              <w:spacing w:after="0"/>
              <w:jc w:val="center"/>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2</w:t>
            </w:r>
          </w:p>
        </w:tc>
      </w:tr>
      <w:tr w:rsidR="00E274A4" w:rsidRPr="00E274A4" w:rsidTr="00C53C5F">
        <w:trPr>
          <w:trHeight w:val="320"/>
        </w:trPr>
        <w:tc>
          <w:tcPr>
            <w:tcW w:w="5935" w:type="dxa"/>
            <w:gridSpan w:val="4"/>
            <w:tcBorders>
              <w:top w:val="nil"/>
              <w:left w:val="nil"/>
              <w:bottom w:val="nil"/>
              <w:right w:val="nil"/>
            </w:tcBorders>
            <w:shd w:val="clear" w:color="auto" w:fill="auto"/>
            <w:noWrap/>
            <w:vAlign w:val="bottom"/>
            <w:hideMark/>
          </w:tcPr>
          <w:p w:rsidR="00E274A4" w:rsidRPr="00E274A4" w:rsidRDefault="00E274A4" w:rsidP="00E274A4">
            <w:pPr>
              <w:spacing w:after="0"/>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Origen y finalización institucional excepcional</w:t>
            </w:r>
          </w:p>
        </w:tc>
        <w:tc>
          <w:tcPr>
            <w:tcW w:w="1292" w:type="dxa"/>
            <w:tcBorders>
              <w:top w:val="nil"/>
              <w:left w:val="nil"/>
              <w:bottom w:val="nil"/>
              <w:right w:val="nil"/>
            </w:tcBorders>
            <w:shd w:val="clear" w:color="auto" w:fill="auto"/>
            <w:noWrap/>
            <w:vAlign w:val="bottom"/>
            <w:hideMark/>
          </w:tcPr>
          <w:p w:rsidR="00E274A4" w:rsidRPr="00E274A4" w:rsidRDefault="00E274A4" w:rsidP="00E274A4">
            <w:pPr>
              <w:spacing w:after="0"/>
              <w:jc w:val="center"/>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1</w:t>
            </w:r>
          </w:p>
        </w:tc>
      </w:tr>
      <w:tr w:rsidR="00E274A4" w:rsidRPr="00E274A4" w:rsidTr="00C53C5F">
        <w:trPr>
          <w:trHeight w:val="320"/>
        </w:trPr>
        <w:tc>
          <w:tcPr>
            <w:tcW w:w="5935" w:type="dxa"/>
            <w:gridSpan w:val="4"/>
            <w:tcBorders>
              <w:top w:val="nil"/>
              <w:left w:val="nil"/>
              <w:bottom w:val="nil"/>
              <w:right w:val="nil"/>
            </w:tcBorders>
            <w:shd w:val="clear" w:color="auto" w:fill="auto"/>
            <w:noWrap/>
            <w:vAlign w:val="bottom"/>
            <w:hideMark/>
          </w:tcPr>
          <w:p w:rsidR="00E274A4" w:rsidRPr="00E274A4" w:rsidRDefault="00E274A4" w:rsidP="00E274A4">
            <w:pPr>
              <w:spacing w:after="0"/>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Origen no institucional y finalización institucional excepcional</w:t>
            </w:r>
          </w:p>
        </w:tc>
        <w:tc>
          <w:tcPr>
            <w:tcW w:w="1292" w:type="dxa"/>
            <w:tcBorders>
              <w:top w:val="nil"/>
              <w:left w:val="nil"/>
              <w:bottom w:val="nil"/>
              <w:right w:val="nil"/>
            </w:tcBorders>
            <w:shd w:val="clear" w:color="auto" w:fill="auto"/>
            <w:noWrap/>
            <w:vAlign w:val="bottom"/>
            <w:hideMark/>
          </w:tcPr>
          <w:p w:rsidR="00E274A4" w:rsidRPr="00E274A4" w:rsidRDefault="00E274A4" w:rsidP="00E274A4">
            <w:pPr>
              <w:spacing w:after="0"/>
              <w:jc w:val="center"/>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2</w:t>
            </w:r>
          </w:p>
        </w:tc>
      </w:tr>
      <w:tr w:rsidR="00E274A4" w:rsidRPr="00E274A4" w:rsidTr="00C53C5F">
        <w:trPr>
          <w:trHeight w:val="320"/>
        </w:trPr>
        <w:tc>
          <w:tcPr>
            <w:tcW w:w="4640" w:type="dxa"/>
            <w:gridSpan w:val="3"/>
            <w:tcBorders>
              <w:top w:val="nil"/>
              <w:left w:val="nil"/>
              <w:bottom w:val="nil"/>
              <w:right w:val="nil"/>
            </w:tcBorders>
            <w:shd w:val="clear" w:color="auto" w:fill="auto"/>
            <w:noWrap/>
            <w:vAlign w:val="bottom"/>
            <w:hideMark/>
          </w:tcPr>
          <w:p w:rsidR="00E274A4" w:rsidRPr="00E274A4" w:rsidRDefault="00E274A4" w:rsidP="00E274A4">
            <w:pPr>
              <w:spacing w:after="0"/>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 xml:space="preserve">Origen institucional aún no finalizado </w:t>
            </w:r>
          </w:p>
        </w:tc>
        <w:tc>
          <w:tcPr>
            <w:tcW w:w="1295" w:type="dxa"/>
            <w:tcBorders>
              <w:top w:val="nil"/>
              <w:left w:val="nil"/>
              <w:bottom w:val="nil"/>
              <w:right w:val="nil"/>
            </w:tcBorders>
            <w:shd w:val="clear" w:color="auto" w:fill="auto"/>
            <w:noWrap/>
            <w:vAlign w:val="bottom"/>
            <w:hideMark/>
          </w:tcPr>
          <w:p w:rsidR="00E274A4" w:rsidRPr="00E274A4" w:rsidRDefault="00E274A4" w:rsidP="00E274A4">
            <w:pPr>
              <w:spacing w:after="0"/>
              <w:jc w:val="center"/>
              <w:rPr>
                <w:rFonts w:ascii="Calibri" w:eastAsia="Times New Roman" w:hAnsi="Calibri" w:cs="Calibri"/>
                <w:color w:val="000000"/>
                <w:lang w:val="es-ES" w:eastAsia="es-ES"/>
              </w:rPr>
            </w:pPr>
          </w:p>
        </w:tc>
        <w:tc>
          <w:tcPr>
            <w:tcW w:w="1292" w:type="dxa"/>
            <w:tcBorders>
              <w:top w:val="nil"/>
              <w:left w:val="nil"/>
              <w:bottom w:val="nil"/>
              <w:right w:val="nil"/>
            </w:tcBorders>
            <w:shd w:val="clear" w:color="auto" w:fill="auto"/>
            <w:noWrap/>
            <w:vAlign w:val="bottom"/>
            <w:hideMark/>
          </w:tcPr>
          <w:p w:rsidR="00E274A4" w:rsidRPr="00E274A4" w:rsidRDefault="00E274A4" w:rsidP="00E274A4">
            <w:pPr>
              <w:spacing w:after="0"/>
              <w:jc w:val="center"/>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1</w:t>
            </w:r>
          </w:p>
        </w:tc>
      </w:tr>
      <w:tr w:rsidR="00E274A4" w:rsidRPr="00E274A4" w:rsidTr="00C53C5F">
        <w:trPr>
          <w:trHeight w:val="320"/>
        </w:trPr>
        <w:tc>
          <w:tcPr>
            <w:tcW w:w="1547" w:type="dxa"/>
            <w:tcBorders>
              <w:top w:val="nil"/>
              <w:left w:val="nil"/>
              <w:bottom w:val="nil"/>
              <w:right w:val="nil"/>
            </w:tcBorders>
            <w:shd w:val="clear" w:color="auto" w:fill="auto"/>
            <w:noWrap/>
            <w:vAlign w:val="bottom"/>
            <w:hideMark/>
          </w:tcPr>
          <w:p w:rsidR="00E274A4" w:rsidRPr="00E274A4" w:rsidRDefault="00E274A4" w:rsidP="00E274A4">
            <w:pPr>
              <w:spacing w:after="0"/>
              <w:rPr>
                <w:rFonts w:ascii="Calibri" w:eastAsia="Times New Roman" w:hAnsi="Calibri" w:cs="Calibri"/>
                <w:color w:val="000000"/>
                <w:lang w:val="es-ES" w:eastAsia="es-ES"/>
              </w:rPr>
            </w:pPr>
          </w:p>
        </w:tc>
        <w:tc>
          <w:tcPr>
            <w:tcW w:w="1546" w:type="dxa"/>
            <w:tcBorders>
              <w:top w:val="nil"/>
              <w:left w:val="nil"/>
              <w:bottom w:val="nil"/>
              <w:right w:val="nil"/>
            </w:tcBorders>
            <w:shd w:val="clear" w:color="auto" w:fill="auto"/>
            <w:noWrap/>
            <w:vAlign w:val="bottom"/>
            <w:hideMark/>
          </w:tcPr>
          <w:p w:rsidR="00E274A4" w:rsidRPr="00E274A4" w:rsidRDefault="00E274A4" w:rsidP="00E274A4">
            <w:pPr>
              <w:spacing w:after="0"/>
              <w:rPr>
                <w:rFonts w:ascii="Calibri" w:eastAsia="Times New Roman" w:hAnsi="Calibri" w:cs="Calibri"/>
                <w:color w:val="000000"/>
                <w:lang w:val="es-ES" w:eastAsia="es-ES"/>
              </w:rPr>
            </w:pPr>
          </w:p>
        </w:tc>
        <w:tc>
          <w:tcPr>
            <w:tcW w:w="1546" w:type="dxa"/>
            <w:tcBorders>
              <w:top w:val="nil"/>
              <w:left w:val="nil"/>
              <w:bottom w:val="nil"/>
              <w:right w:val="nil"/>
            </w:tcBorders>
            <w:shd w:val="clear" w:color="auto" w:fill="auto"/>
            <w:noWrap/>
            <w:vAlign w:val="bottom"/>
            <w:hideMark/>
          </w:tcPr>
          <w:p w:rsidR="00E274A4" w:rsidRPr="00E274A4" w:rsidRDefault="00E274A4" w:rsidP="00E274A4">
            <w:pPr>
              <w:spacing w:after="0"/>
              <w:rPr>
                <w:rFonts w:ascii="Calibri" w:eastAsia="Times New Roman" w:hAnsi="Calibri" w:cs="Calibri"/>
                <w:color w:val="000000"/>
                <w:lang w:val="es-ES" w:eastAsia="es-ES"/>
              </w:rPr>
            </w:pPr>
          </w:p>
        </w:tc>
        <w:tc>
          <w:tcPr>
            <w:tcW w:w="1295" w:type="dxa"/>
            <w:tcBorders>
              <w:top w:val="nil"/>
              <w:left w:val="nil"/>
              <w:bottom w:val="nil"/>
              <w:right w:val="nil"/>
            </w:tcBorders>
            <w:shd w:val="clear" w:color="auto" w:fill="auto"/>
            <w:noWrap/>
            <w:vAlign w:val="bottom"/>
            <w:hideMark/>
          </w:tcPr>
          <w:p w:rsidR="00E274A4" w:rsidRPr="00E274A4" w:rsidRDefault="00E274A4" w:rsidP="00E274A4">
            <w:pPr>
              <w:spacing w:after="0"/>
              <w:jc w:val="right"/>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Total</w:t>
            </w:r>
          </w:p>
        </w:tc>
        <w:tc>
          <w:tcPr>
            <w:tcW w:w="1292" w:type="dxa"/>
            <w:tcBorders>
              <w:top w:val="nil"/>
              <w:left w:val="nil"/>
              <w:bottom w:val="nil"/>
              <w:right w:val="nil"/>
            </w:tcBorders>
            <w:shd w:val="clear" w:color="auto" w:fill="auto"/>
            <w:noWrap/>
            <w:vAlign w:val="bottom"/>
            <w:hideMark/>
          </w:tcPr>
          <w:p w:rsidR="00E274A4" w:rsidRPr="00E274A4" w:rsidRDefault="00E274A4" w:rsidP="00E274A4">
            <w:pPr>
              <w:spacing w:after="0"/>
              <w:jc w:val="center"/>
              <w:rPr>
                <w:rFonts w:ascii="Calibri" w:eastAsia="Times New Roman" w:hAnsi="Calibri" w:cs="Calibri"/>
                <w:color w:val="000000"/>
                <w:lang w:val="es-ES" w:eastAsia="es-ES"/>
              </w:rPr>
            </w:pPr>
            <w:r w:rsidRPr="00E274A4">
              <w:rPr>
                <w:rFonts w:ascii="Calibri" w:eastAsia="Times New Roman" w:hAnsi="Calibri" w:cs="Calibri"/>
                <w:color w:val="000000"/>
                <w:lang w:val="es-ES" w:eastAsia="es-ES"/>
              </w:rPr>
              <w:t>21</w:t>
            </w:r>
          </w:p>
        </w:tc>
      </w:tr>
    </w:tbl>
    <w:p w:rsidR="00E274A4" w:rsidRDefault="00E274A4" w:rsidP="00E274A4">
      <w:pPr>
        <w:spacing w:after="0"/>
        <w:jc w:val="center"/>
      </w:pPr>
    </w:p>
    <w:p w:rsidR="00C53C5F" w:rsidRDefault="00C53C5F" w:rsidP="00C53C5F">
      <w:pPr>
        <w:spacing w:after="0"/>
      </w:pPr>
      <w:r>
        <w:t>Este análisis podría extenderse a los otros poderes</w:t>
      </w:r>
      <w:r w:rsidR="006746CB">
        <w:t xml:space="preserve"> y actividades del estado. Pero la precariedad institucional del período queda suficientemente caracterizada si notamos que hay la misma cantidad de casos de institucionalidad normal como de carencia total en el acceso a la presidencia (cinco). Hay 14 casos en los que el poder se originó inst</w:t>
      </w:r>
      <w:r w:rsidR="006746CB">
        <w:t>i</w:t>
      </w:r>
      <w:r w:rsidR="006746CB">
        <w:t>tucionalmente, pero 9 terminaron de manera irregular y hay 7 casos en los que origen del poder fue no institucional. La nota positiva está dada porque los 5 casos de suc</w:t>
      </w:r>
      <w:r w:rsidR="006746CB">
        <w:t>e</w:t>
      </w:r>
      <w:r w:rsidR="006746CB">
        <w:t>sión institucional normal se produjeron en los últimos 23 años. Es decir, ha habido una sensible mejora de la calidad institucional</w:t>
      </w:r>
      <w:r w:rsidR="005637F5">
        <w:t xml:space="preserve"> en los últimos tiempos</w:t>
      </w:r>
      <w:r w:rsidR="006746CB">
        <w:t>.</w:t>
      </w:r>
    </w:p>
    <w:p w:rsidR="006746CB" w:rsidRDefault="006746CB" w:rsidP="00C53C5F">
      <w:pPr>
        <w:spacing w:after="0"/>
      </w:pPr>
    </w:p>
    <w:p w:rsidR="006746CB" w:rsidRDefault="006746CB" w:rsidP="00C53C5F">
      <w:pPr>
        <w:spacing w:after="0"/>
      </w:pPr>
      <w:r>
        <w:rPr>
          <w:b/>
          <w:sz w:val="24"/>
        </w:rPr>
        <w:t>4. Reflexiones sobre la trayectoria de las Jornadas</w:t>
      </w:r>
    </w:p>
    <w:p w:rsidR="006746CB" w:rsidRDefault="004E38A5" w:rsidP="005D511C">
      <w:r>
        <w:t>La sección 3 ha mostrado que los contextos económico, fiscal e institucional en los años de vida de las Jornadas no han sido favorables</w:t>
      </w:r>
      <w:r w:rsidR="008C1CDA">
        <w:t xml:space="preserve"> para</w:t>
      </w:r>
      <w:r>
        <w:t xml:space="preserve"> las actividades generales del país, incluyendo las académicas. </w:t>
      </w:r>
      <w:r w:rsidR="008C1CDA">
        <w:t>Esto, sin duda,</w:t>
      </w:r>
      <w:r>
        <w:t xml:space="preserve"> </w:t>
      </w:r>
      <w:r w:rsidR="008C1CDA">
        <w:t>a</w:t>
      </w:r>
      <w:r>
        <w:t>grega méritos a quienes han l</w:t>
      </w:r>
      <w:r>
        <w:t>o</w:t>
      </w:r>
      <w:r>
        <w:t xml:space="preserve">grado mantener la periodicidad anual de las reuniones, y más aún, </w:t>
      </w:r>
      <w:proofErr w:type="spellStart"/>
      <w:r w:rsidR="008C1CDA">
        <w:t>mejorara</w:t>
      </w:r>
      <w:r w:rsidR="006633B6">
        <w:t>r</w:t>
      </w:r>
      <w:proofErr w:type="spellEnd"/>
      <w:r w:rsidR="008C1CDA">
        <w:t xml:space="preserve"> </w:t>
      </w:r>
      <w:r>
        <w:t xml:space="preserve">el </w:t>
      </w:r>
      <w:r w:rsidR="008C1CDA">
        <w:t xml:space="preserve">alto </w:t>
      </w:r>
      <w:r>
        <w:t>n</w:t>
      </w:r>
      <w:r>
        <w:t>i</w:t>
      </w:r>
      <w:r>
        <w:t>vel intelectual de las mismas. Los datos mencionados anteriormente muestran que ha crecido el número de participantes, de trabajos presentados, de paneles sobre temas especiales, de participación de personas provenientes de otros países.</w:t>
      </w:r>
      <w:r w:rsidR="005D511C">
        <w:t xml:space="preserve"> Esto tiene</w:t>
      </w:r>
      <w:r w:rsidR="008C1CDA">
        <w:t xml:space="preserve"> un motivo y una consecuencia</w:t>
      </w:r>
      <w:r w:rsidR="005D511C">
        <w:t>:</w:t>
      </w:r>
      <w:r>
        <w:t xml:space="preserve"> </w:t>
      </w:r>
      <w:r w:rsidR="005D511C">
        <w:t>l</w:t>
      </w:r>
      <w:r>
        <w:t xml:space="preserve">as Jornadas de Finanzas Públicas se han convertido, así, en la principal reunión académica sobre las cuestiones de la hacienda pública. </w:t>
      </w:r>
    </w:p>
    <w:p w:rsidR="008C1CDA" w:rsidRPr="008C1CDA" w:rsidRDefault="008C1CDA" w:rsidP="008C1CDA">
      <w:pPr>
        <w:spacing w:after="0"/>
        <w:rPr>
          <w:b/>
        </w:rPr>
      </w:pPr>
      <w:r w:rsidRPr="008C1CDA">
        <w:rPr>
          <w:b/>
        </w:rPr>
        <w:t xml:space="preserve">4.1 </w:t>
      </w:r>
      <w:r>
        <w:rPr>
          <w:b/>
        </w:rPr>
        <w:t>Una mirada al pasado</w:t>
      </w:r>
    </w:p>
    <w:p w:rsidR="00A83EE7" w:rsidRDefault="00847C02" w:rsidP="00847C02">
      <w:r>
        <w:t>E</w:t>
      </w:r>
      <w:r w:rsidR="005D511C">
        <w:t>l análisis de los trabajos presentados permite ver que los principales temas releva</w:t>
      </w:r>
      <w:r w:rsidR="005D511C">
        <w:t>n</w:t>
      </w:r>
      <w:r w:rsidR="005D511C">
        <w:t>tes de la economía política fiscal del país. Las relaciones fiscales intergubernament</w:t>
      </w:r>
      <w:r w:rsidR="005D511C">
        <w:t>a</w:t>
      </w:r>
      <w:r w:rsidR="005D511C">
        <w:lastRenderedPageBreak/>
        <w:t>les, la evaluación del sistema tributario y sus posibles reformas, los resultados fiscales,</w:t>
      </w:r>
      <w:r>
        <w:t xml:space="preserve"> </w:t>
      </w:r>
      <w:r w:rsidR="005D511C">
        <w:t xml:space="preserve">la deuda pública y la política fiscal apropiada, la seguridad social, la gestión pública </w:t>
      </w:r>
      <w:r>
        <w:t xml:space="preserve">son los temas más tratados a lo largo de 50 años. Se </w:t>
      </w:r>
      <w:r w:rsidR="008C1CDA">
        <w:t xml:space="preserve">han aportado </w:t>
      </w:r>
      <w:proofErr w:type="gramStart"/>
      <w:r w:rsidR="008C1CDA">
        <w:t xml:space="preserve">ideas interesantes </w:t>
      </w:r>
      <w:r>
        <w:t>y formulado</w:t>
      </w:r>
      <w:proofErr w:type="gramEnd"/>
      <w:r>
        <w:t xml:space="preserve"> recomendaciones valiosas. Es, </w:t>
      </w:r>
      <w:r w:rsidR="008C1CDA">
        <w:t>seguramente</w:t>
      </w:r>
      <w:r>
        <w:t xml:space="preserve">, un éxito de las Jornadas. </w:t>
      </w:r>
    </w:p>
    <w:p w:rsidR="00847C02" w:rsidRDefault="00847C02" w:rsidP="00C53C5F">
      <w:pPr>
        <w:spacing w:after="0"/>
      </w:pPr>
      <w:r>
        <w:t>Un dato que surge cuando se examinan los trabajos es la reiteración de los problemas.</w:t>
      </w:r>
    </w:p>
    <w:p w:rsidR="001F000A" w:rsidRDefault="00847C02" w:rsidP="00A83EE7">
      <w:r>
        <w:t xml:space="preserve">Tomemos un caso: en 1970 </w:t>
      </w:r>
      <w:r w:rsidR="001F000A">
        <w:t>una mesa redonda formada por los</w:t>
      </w:r>
      <w:r w:rsidR="00A83EE7">
        <w:t xml:space="preserve"> entonces</w:t>
      </w:r>
      <w:r w:rsidR="001F000A">
        <w:t xml:space="preserve"> principales </w:t>
      </w:r>
      <w:proofErr w:type="spellStart"/>
      <w:r w:rsidR="001F000A">
        <w:t>tributaristas</w:t>
      </w:r>
      <w:proofErr w:type="spellEnd"/>
      <w:r w:rsidR="001F000A">
        <w:t xml:space="preserve"> del país, sobre “Reforma Tributaria para la República Argentina”. Repr</w:t>
      </w:r>
      <w:r w:rsidR="001F000A">
        <w:t>o</w:t>
      </w:r>
      <w:r w:rsidR="001F000A">
        <w:t>ducimos algunos conceptos vertidos allí, a veces</w:t>
      </w:r>
      <w:r w:rsidR="006633B6">
        <w:t xml:space="preserve"> repetidos</w:t>
      </w:r>
      <w:r w:rsidR="00A83EE7">
        <w:t xml:space="preserve"> en varias de las exposici</w:t>
      </w:r>
      <w:r w:rsidR="00A83EE7">
        <w:t>o</w:t>
      </w:r>
      <w:r w:rsidR="00A83EE7">
        <w:t>nes</w:t>
      </w:r>
      <w:r w:rsidR="001F000A">
        <w:rPr>
          <w:rStyle w:val="Refdenotaalpie"/>
        </w:rPr>
        <w:footnoteReference w:id="8"/>
      </w:r>
      <w:r w:rsidR="001F000A">
        <w:t>:</w:t>
      </w:r>
    </w:p>
    <w:p w:rsidR="001F000A" w:rsidRDefault="001F000A" w:rsidP="00A83EE7">
      <w:pPr>
        <w:ind w:left="284" w:right="282"/>
      </w:pPr>
      <w:r>
        <w:t>“… es</w:t>
      </w:r>
      <w:r w:rsidR="000D270F">
        <w:t>t</w:t>
      </w:r>
      <w:r>
        <w:t>oy pensando si existe poder político suficiente, como para poder pensar en una reforma tributaria a fondo”</w:t>
      </w:r>
    </w:p>
    <w:p w:rsidR="001F000A" w:rsidRDefault="001F000A" w:rsidP="00A83EE7">
      <w:pPr>
        <w:ind w:left="284" w:right="282"/>
      </w:pPr>
      <w:r>
        <w:t>“… tenemos que hacer la pregunta en cuánto tiempo queremos hacer esa refo</w:t>
      </w:r>
      <w:r>
        <w:t>r</w:t>
      </w:r>
      <w:r>
        <w:t>ma, y si pretendemos hacerla muy rápidamente o queremos aproximarnos a a</w:t>
      </w:r>
      <w:r>
        <w:t>l</w:t>
      </w:r>
      <w:r>
        <w:t>gún tipo de modelo óptimo en un lapso más prudencial”</w:t>
      </w:r>
    </w:p>
    <w:p w:rsidR="001F000A" w:rsidRDefault="001F000A" w:rsidP="00A83EE7">
      <w:pPr>
        <w:ind w:left="284" w:right="282"/>
      </w:pPr>
      <w:r>
        <w:t>“… si pensamos en una reforma tributaria independientemente del gasto público</w:t>
      </w:r>
      <w:r w:rsidR="00E66FBB">
        <w:t>, o tenemos que pensar en una reforma del aparato fiscal como un todo”</w:t>
      </w:r>
    </w:p>
    <w:p w:rsidR="00E66FBB" w:rsidRDefault="00E66FBB" w:rsidP="00A83EE7">
      <w:pPr>
        <w:ind w:left="284" w:right="282"/>
      </w:pPr>
      <w:r>
        <w:t>“… me preocupa el problema desde el punto de vista de la demanda agregada. El crecimiento de la economía argentina, aproximadamente desde los años 50, se ha caracterizado por un tipo cíclico con 2 ó 3 años de crecimiento, crisis, una caída fuerte en la actividad, una recuperación, etc.”</w:t>
      </w:r>
    </w:p>
    <w:p w:rsidR="00E66FBB" w:rsidRDefault="00E66FBB" w:rsidP="00A83EE7">
      <w:pPr>
        <w:ind w:left="284" w:right="282"/>
      </w:pPr>
      <w:r>
        <w:t xml:space="preserve">“… pienso en el gasto público como </w:t>
      </w:r>
      <w:proofErr w:type="gramStart"/>
      <w:r>
        <w:t>promotor …</w:t>
      </w:r>
      <w:proofErr w:type="gramEnd"/>
      <w:r>
        <w:t xml:space="preserve"> del capital humano; es decir, si conseguimos que una buena parte de la población que hoy no tiene capital h</w:t>
      </w:r>
      <w:r>
        <w:t>u</w:t>
      </w:r>
      <w:r>
        <w:t>mano, a lo largo de los años posea un stock importante … poniendo a esa gente … en condiciones similares al resto de la población … podemos conseguir una igualdad a través del capital humano ya que no podemos conseguirlo tan relat</w:t>
      </w:r>
      <w:r>
        <w:t>i</w:t>
      </w:r>
      <w:r>
        <w:t>vamente fácil a través de un sistema impositivo …”</w:t>
      </w:r>
    </w:p>
    <w:p w:rsidR="00005904" w:rsidRDefault="00005904" w:rsidP="00A83EE7">
      <w:pPr>
        <w:ind w:left="284" w:right="282"/>
      </w:pPr>
      <w:r>
        <w:t>“En nuestro país tenemos anunciada una reforma estructural tributaria dese hace más de una década</w:t>
      </w:r>
      <w:r w:rsidR="000D270F">
        <w:t xml:space="preserve"> </w:t>
      </w:r>
      <w:r>
        <w:t xml:space="preserve">y </w:t>
      </w:r>
      <w:proofErr w:type="gramStart"/>
      <w:r>
        <w:t>media  …</w:t>
      </w:r>
      <w:proofErr w:type="gramEnd"/>
      <w:r>
        <w:t xml:space="preserve"> Sin embargo, este cambio se viene posponie</w:t>
      </w:r>
      <w:r>
        <w:t>n</w:t>
      </w:r>
      <w:r>
        <w:t>do”</w:t>
      </w:r>
    </w:p>
    <w:p w:rsidR="00005904" w:rsidRDefault="00005904" w:rsidP="00A83EE7">
      <w:pPr>
        <w:ind w:left="284" w:right="282"/>
      </w:pPr>
      <w:r>
        <w:t>“… las últimas reformas han sido consecuencia de necesidades d</w:t>
      </w:r>
      <w:r w:rsidR="00D4198D">
        <w:t>e fondos, o sea no han estado i</w:t>
      </w:r>
      <w:r>
        <w:t>mp</w:t>
      </w:r>
      <w:r w:rsidR="00D4198D">
        <w:t>ul</w:t>
      </w:r>
      <w:r>
        <w:t>sadas, en la mayoría de los casos</w:t>
      </w:r>
      <w:r w:rsidR="00D4198D">
        <w:t xml:space="preserve">, por propósitos de </w:t>
      </w:r>
      <w:proofErr w:type="gramStart"/>
      <w:r w:rsidR="00D4198D">
        <w:t>raci</w:t>
      </w:r>
      <w:r w:rsidR="00D4198D">
        <w:t>o</w:t>
      </w:r>
      <w:r w:rsidR="00D4198D">
        <w:t>nalidad …</w:t>
      </w:r>
      <w:proofErr w:type="gramEnd"/>
      <w:r w:rsidR="00D4198D">
        <w:t xml:space="preserve"> [es necesario] introducir en el devenir histórico un poco de racional</w:t>
      </w:r>
      <w:r w:rsidR="00D4198D">
        <w:t>i</w:t>
      </w:r>
      <w:r w:rsidR="00D4198D">
        <w:t>dad, o sea, aplicar los principios …”</w:t>
      </w:r>
    </w:p>
    <w:p w:rsidR="00D4198D" w:rsidRDefault="00D4198D" w:rsidP="00A83EE7">
      <w:pPr>
        <w:ind w:left="284" w:right="282"/>
      </w:pPr>
      <w:r>
        <w:t>“… nos encontramos con una maraña [de impuestos] que es difícil que armon</w:t>
      </w:r>
      <w:r>
        <w:t>i</w:t>
      </w:r>
      <w:r>
        <w:t>cen y llenen esa necesidad que tienen los contribuyentes en cuanto a la equidad en la distribución de la carga impositiva”</w:t>
      </w:r>
    </w:p>
    <w:p w:rsidR="00D4198D" w:rsidRDefault="00D4198D" w:rsidP="00A83EE7">
      <w:pPr>
        <w:ind w:left="284" w:right="282"/>
      </w:pPr>
      <w:r>
        <w:t>“… [</w:t>
      </w:r>
      <w:proofErr w:type="gramStart"/>
      <w:r>
        <w:t>el</w:t>
      </w:r>
      <w:proofErr w:type="gramEnd"/>
      <w:r>
        <w:t xml:space="preserve"> problema] del régimen de coparticipación … es un lugar común dentro de los financistas, pero bastante difícil de implementar …”</w:t>
      </w:r>
    </w:p>
    <w:p w:rsidR="00B4555A" w:rsidRDefault="00B4555A" w:rsidP="00A83EE7">
      <w:pPr>
        <w:ind w:left="284" w:right="282"/>
      </w:pPr>
      <w:r>
        <w:t>“[</w:t>
      </w:r>
      <w:r w:rsidR="006633B6">
        <w:t xml:space="preserve">hay que </w:t>
      </w:r>
      <w:r>
        <w:t xml:space="preserve">lograr] la racionalización de la distribución de las facultades impositivas o de los resultados de la recaudación entre diferentes niveles </w:t>
      </w:r>
      <w:proofErr w:type="gramStart"/>
      <w:r>
        <w:t>gubernamentales …”</w:t>
      </w:r>
      <w:proofErr w:type="gramEnd"/>
    </w:p>
    <w:p w:rsidR="00B4555A" w:rsidRDefault="00B4555A" w:rsidP="000D270F">
      <w:pPr>
        <w:ind w:left="284" w:right="282"/>
      </w:pPr>
      <w:r>
        <w:t xml:space="preserve">“… las </w:t>
      </w:r>
      <w:proofErr w:type="gramStart"/>
      <w:r>
        <w:t>provincias …</w:t>
      </w:r>
      <w:proofErr w:type="gramEnd"/>
      <w:r>
        <w:t xml:space="preserve"> deberían percibir menos de coparticipación y tener más r</w:t>
      </w:r>
      <w:r>
        <w:t>e</w:t>
      </w:r>
      <w:r>
        <w:t>cursos propios”</w:t>
      </w:r>
    </w:p>
    <w:p w:rsidR="00B4555A" w:rsidRDefault="000D270F" w:rsidP="006633B6">
      <w:pPr>
        <w:spacing w:after="0"/>
        <w:ind w:right="282"/>
      </w:pPr>
      <w:r>
        <w:t xml:space="preserve">Las expresiones citadas son sólo una muestra de cuestiones que mantiene hoy plena vigencia y son parte del debate actual.  La reiteración de problemas que no </w:t>
      </w:r>
      <w:r>
        <w:lastRenderedPageBreak/>
        <w:t xml:space="preserve">se solucionan o que reaparecen </w:t>
      </w:r>
      <w:proofErr w:type="gramStart"/>
      <w:r w:rsidR="00A83EE7">
        <w:t>ponen</w:t>
      </w:r>
      <w:proofErr w:type="gramEnd"/>
      <w:r>
        <w:t xml:space="preserve"> una nota pesimista y </w:t>
      </w:r>
      <w:r w:rsidR="00A83EE7">
        <w:t xml:space="preserve">nos recuerda </w:t>
      </w:r>
      <w:r>
        <w:t>la refl</w:t>
      </w:r>
      <w:r>
        <w:t>e</w:t>
      </w:r>
      <w:r>
        <w:t xml:space="preserve">xión de </w:t>
      </w:r>
      <w:proofErr w:type="spellStart"/>
      <w:r>
        <w:t>Knut</w:t>
      </w:r>
      <w:proofErr w:type="spellEnd"/>
      <w:r>
        <w:t xml:space="preserve"> </w:t>
      </w:r>
      <w:proofErr w:type="spellStart"/>
      <w:r>
        <w:t>Wickseell</w:t>
      </w:r>
      <w:proofErr w:type="spellEnd"/>
      <w:r>
        <w:t xml:space="preserve"> acerca del “derroche de recursos</w:t>
      </w:r>
      <w:r w:rsidR="006633B6">
        <w:t xml:space="preserve"> intelectuales</w:t>
      </w:r>
      <w:r>
        <w:t>” que implica “hablar a quien no quiere escuchar”. Pero el camino correcto es, por el contrario, i</w:t>
      </w:r>
      <w:r>
        <w:t>n</w:t>
      </w:r>
      <w:r>
        <w:t>corporar a la agenda el estudio de nuestros comportamiento cíclicos que se extie</w:t>
      </w:r>
      <w:r>
        <w:t>n</w:t>
      </w:r>
      <w:r>
        <w:t>den no sólo a los temas tributarios sino, también</w:t>
      </w:r>
      <w:proofErr w:type="gramStart"/>
      <w:r>
        <w:t>,:</w:t>
      </w:r>
      <w:proofErr w:type="gramEnd"/>
      <w:r>
        <w:t xml:space="preserve"> al </w:t>
      </w:r>
      <w:proofErr w:type="spellStart"/>
      <w:r>
        <w:t>federalimso</w:t>
      </w:r>
      <w:proofErr w:type="spellEnd"/>
      <w:r>
        <w:t xml:space="preserve"> fiscal, la seguridad, social, los resultados fiscales y las consecuencias macroeconómicas</w:t>
      </w:r>
      <w:r w:rsidR="006633B6">
        <w:t>,</w:t>
      </w:r>
      <w:r>
        <w:t xml:space="preserve"> </w:t>
      </w:r>
      <w:r w:rsidR="006633B6">
        <w:t>l</w:t>
      </w:r>
      <w:r>
        <w:t xml:space="preserve">a eficiencia de las prestaciones públicas, </w:t>
      </w:r>
      <w:proofErr w:type="spellStart"/>
      <w:r>
        <w:t>etc</w:t>
      </w:r>
      <w:proofErr w:type="spellEnd"/>
      <w:r w:rsidR="00E64E74">
        <w:rPr>
          <w:rStyle w:val="Refdenotaalpie"/>
        </w:rPr>
        <w:footnoteReference w:id="9"/>
      </w:r>
      <w:r>
        <w:t>.</w:t>
      </w:r>
    </w:p>
    <w:p w:rsidR="006633B6" w:rsidRDefault="006633B6" w:rsidP="000D270F">
      <w:pPr>
        <w:spacing w:after="0"/>
        <w:ind w:right="282"/>
        <w:rPr>
          <w:b/>
        </w:rPr>
      </w:pPr>
    </w:p>
    <w:p w:rsidR="00EC4107" w:rsidRPr="00A83EE7" w:rsidRDefault="00A83EE7" w:rsidP="000D270F">
      <w:pPr>
        <w:spacing w:after="0"/>
        <w:ind w:right="282"/>
        <w:rPr>
          <w:b/>
        </w:rPr>
      </w:pPr>
      <w:r>
        <w:rPr>
          <w:b/>
        </w:rPr>
        <w:t>4.2 La agenda del futuro</w:t>
      </w:r>
    </w:p>
    <w:p w:rsidR="00A83EE7" w:rsidRDefault="00A83EE7" w:rsidP="00A83EE7">
      <w:r>
        <w:t>El éxito obliga a más. Debemos pensar por los aportes, digamos, para los próximos 50 años. La agenda del futuro es el nuevo desafío.</w:t>
      </w:r>
    </w:p>
    <w:p w:rsidR="00961FFD" w:rsidRDefault="00A83EE7" w:rsidP="00961FFD">
      <w:r w:rsidRPr="007C0CBF">
        <w:t>Para ello me parece apropiado partir de la llamada declinación argentina</w:t>
      </w:r>
      <w:r w:rsidR="006633B6">
        <w:t xml:space="preserve"> y de las e</w:t>
      </w:r>
      <w:r w:rsidR="006633B6">
        <w:t>n</w:t>
      </w:r>
      <w:r w:rsidR="006633B6">
        <w:t>señanzas que nos han dejado 50 Jornadas de Finanzas Públicas</w:t>
      </w:r>
      <w:r w:rsidRPr="007C0CBF">
        <w:t xml:space="preserve">. Abarca muchos </w:t>
      </w:r>
      <w:proofErr w:type="gramStart"/>
      <w:r w:rsidRPr="007C0CBF">
        <w:t>a</w:t>
      </w:r>
      <w:r w:rsidRPr="007C0CBF">
        <w:t>s</w:t>
      </w:r>
      <w:r w:rsidRPr="007C0CBF">
        <w:t>pecto</w:t>
      </w:r>
      <w:proofErr w:type="gramEnd"/>
      <w:r w:rsidRPr="007C0CBF">
        <w:t>, pero tiene una manifestación objetivo en los indicadores del desempeño ec</w:t>
      </w:r>
      <w:r w:rsidRPr="007C0CBF">
        <w:t>o</w:t>
      </w:r>
      <w:r w:rsidRPr="007C0CBF">
        <w:t>nómico. Argentina necesita</w:t>
      </w:r>
      <w:r w:rsidR="007C0CBF">
        <w:t xml:space="preserve">, con urgencia, </w:t>
      </w:r>
      <w:r w:rsidR="00961FFD">
        <w:t>un crecimiento alto y sostenido por déc</w:t>
      </w:r>
      <w:r w:rsidR="00961FFD">
        <w:t>a</w:t>
      </w:r>
      <w:r w:rsidR="00961FFD">
        <w:t>das. El mismo sólo puede estar fundado en un aumento de la productividad que d</w:t>
      </w:r>
      <w:r w:rsidR="00961FFD">
        <w:t>e</w:t>
      </w:r>
      <w:r w:rsidR="00961FFD">
        <w:t>pende de la acumulación de capital físico y humano y el aprovechamiento de los ava</w:t>
      </w:r>
      <w:r w:rsidR="00961FFD">
        <w:t>n</w:t>
      </w:r>
      <w:r w:rsidR="00961FFD">
        <w:t>ces tecnológicos. Para ello Argentina debe mejorar su competitividad e integrarse al mundo en mayor medida que</w:t>
      </w:r>
      <w:r w:rsidR="006633B6">
        <w:t xml:space="preserve"> en</w:t>
      </w:r>
      <w:r w:rsidR="00961FFD">
        <w:t xml:space="preserve"> las últimas décadas. Los factores fiscales no son los únicos pero deben cumplir un rol muy importante en este proceso.</w:t>
      </w:r>
    </w:p>
    <w:p w:rsidR="00961FFD" w:rsidRDefault="00961FFD" w:rsidP="00543DB8">
      <w:r>
        <w:t xml:space="preserve">Un marco macroeconómico estable es otro requisito. También en este caso los temas fiscales son fundamentales. El concepto de </w:t>
      </w:r>
      <w:r>
        <w:rPr>
          <w:b/>
        </w:rPr>
        <w:t xml:space="preserve">dominancia fiscal </w:t>
      </w:r>
      <w:r w:rsidRPr="00961FFD">
        <w:t xml:space="preserve">se aplica, últimamente, </w:t>
      </w:r>
      <w:r>
        <w:t xml:space="preserve">para explicar los problemas de la política monetaria. ¿No hay, también, una </w:t>
      </w:r>
      <w:proofErr w:type="spellStart"/>
      <w:r>
        <w:rPr>
          <w:b/>
        </w:rPr>
        <w:t>domin</w:t>
      </w:r>
      <w:r>
        <w:rPr>
          <w:b/>
        </w:rPr>
        <w:t>a</w:t>
      </w:r>
      <w:r>
        <w:rPr>
          <w:b/>
        </w:rPr>
        <w:t>cia</w:t>
      </w:r>
      <w:proofErr w:type="spellEnd"/>
      <w:r>
        <w:rPr>
          <w:b/>
        </w:rPr>
        <w:t xml:space="preserve"> política</w:t>
      </w:r>
      <w:r>
        <w:t xml:space="preserve"> sobre las cuestiones fiscales? Vivimos una serie de episodios donde las exigencias de la competencia electoral</w:t>
      </w:r>
      <w:r w:rsidR="00543DB8">
        <w:t xml:space="preserve"> postergan o afectan las decisiones públicas sobre los problemas de la hacienda. En varios países se intentan soluciones instituci</w:t>
      </w:r>
      <w:r w:rsidR="00543DB8">
        <w:t>o</w:t>
      </w:r>
      <w:r w:rsidR="00543DB8">
        <w:t xml:space="preserve">nales y en Argentina existen varias iniciativas al respecto. Las mismas se refieren a las limitaciones </w:t>
      </w:r>
      <w:r w:rsidR="006633B6">
        <w:t>a los resultados deficitarios, a</w:t>
      </w:r>
      <w:r w:rsidR="00543DB8">
        <w:t>l nivel</w:t>
      </w:r>
      <w:r w:rsidR="006633B6">
        <w:t xml:space="preserve"> y trayectoria del gasto público, a</w:t>
      </w:r>
      <w:r w:rsidR="00543DB8">
        <w:t>l nivel y composición de la presión tributaria,</w:t>
      </w:r>
      <w:r w:rsidR="00F11F13">
        <w:t xml:space="preserve"> </w:t>
      </w:r>
      <w:r w:rsidR="006633B6">
        <w:t>a</w:t>
      </w:r>
      <w:r w:rsidR="00543DB8">
        <w:t>l alcance de la</w:t>
      </w:r>
      <w:r w:rsidR="00F11F13">
        <w:t>s</w:t>
      </w:r>
      <w:r w:rsidR="00543DB8">
        <w:t xml:space="preserve"> facultades ejecutivas y legisl</w:t>
      </w:r>
      <w:r w:rsidR="00543DB8">
        <w:t>a</w:t>
      </w:r>
      <w:r w:rsidR="00543DB8">
        <w:t>tivas en los procesos presupuestarios</w:t>
      </w:r>
      <w:r w:rsidR="00543DB8">
        <w:rPr>
          <w:rStyle w:val="Refdenotaalpie"/>
        </w:rPr>
        <w:footnoteReference w:id="10"/>
      </w:r>
      <w:r w:rsidR="00543DB8">
        <w:t>.</w:t>
      </w:r>
      <w:r w:rsidRPr="00961FFD">
        <w:t xml:space="preserve"> </w:t>
      </w:r>
    </w:p>
    <w:p w:rsidR="00543DB8" w:rsidRDefault="005C51D9" w:rsidP="00543DB8">
      <w:r>
        <w:t>La competitividad requiere la menor brecha posible entre costos y precios</w:t>
      </w:r>
      <w:r w:rsidR="006633B6">
        <w:t>.</w:t>
      </w:r>
      <w:r>
        <w:t xml:space="preserve"> </w:t>
      </w:r>
      <w:r w:rsidR="00A91EEF">
        <w:t>T</w:t>
      </w:r>
      <w:r>
        <w:t>al brecha tiene componentes tributarios y regulatorios. Estos últimos son formas implícitas de tr</w:t>
      </w:r>
      <w:r>
        <w:t>i</w:t>
      </w:r>
      <w:r>
        <w:t>butación que no cumplen con las reglas habituales de la fiscalidad explícita; principa</w:t>
      </w:r>
      <w:r>
        <w:t>l</w:t>
      </w:r>
      <w:r>
        <w:t xml:space="preserve">mente el principio de legalidad, y pueden ser establecidas con mayor discrecionalidad. </w:t>
      </w:r>
      <w:r w:rsidR="00A91EEF">
        <w:t>La discrecionalidad en con un estado extenso genera muchas oportunidades de bú</w:t>
      </w:r>
      <w:r w:rsidR="00A91EEF">
        <w:t>s</w:t>
      </w:r>
      <w:r w:rsidR="00A91EEF">
        <w:t xml:space="preserve">queda de rentas y de corrupción. </w:t>
      </w:r>
      <w:r>
        <w:t>La fiscalidad implícita se está convirtiendo en un fa</w:t>
      </w:r>
      <w:r>
        <w:t>c</w:t>
      </w:r>
      <w:r>
        <w:t>tor cada vez más importante y es interesante estudiar por qué esto es así y qué co</w:t>
      </w:r>
      <w:r>
        <w:t>n</w:t>
      </w:r>
      <w:r>
        <w:t>secuencias tiene</w:t>
      </w:r>
      <w:r w:rsidR="00523B5B">
        <w:rPr>
          <w:rStyle w:val="Refdenotaalpie"/>
        </w:rPr>
        <w:footnoteReference w:id="11"/>
      </w:r>
      <w:r>
        <w:t>.</w:t>
      </w:r>
    </w:p>
    <w:p w:rsidR="00523B5B" w:rsidRDefault="007C6AE5" w:rsidP="00543DB8">
      <w:r>
        <w:t xml:space="preserve">En resumen, </w:t>
      </w:r>
      <w:r w:rsidR="00F11F13">
        <w:t>la influencia de la fiscalidad sobre el desempeño económico, los nuevos ordenamientos institucionales respecto a la responsabilidad fiscal en materia de resu</w:t>
      </w:r>
      <w:r w:rsidR="00F11F13">
        <w:t>l</w:t>
      </w:r>
      <w:r w:rsidR="00F11F13">
        <w:t xml:space="preserve">tados, gasto público y sistema tributario, la competitividad y la fiscalidad implícita, creo </w:t>
      </w:r>
      <w:r w:rsidR="00F11F13">
        <w:lastRenderedPageBreak/>
        <w:t>que son nuevos desafíos abordar. En esos temas de interrelacionan los enfoques ec</w:t>
      </w:r>
      <w:r w:rsidR="00F11F13">
        <w:t>o</w:t>
      </w:r>
      <w:r w:rsidR="00F11F13">
        <w:t>nómicos y políticos con las</w:t>
      </w:r>
      <w:r w:rsidR="00A91EEF">
        <w:t xml:space="preserve"> formas </w:t>
      </w:r>
      <w:r w:rsidR="00F11F13">
        <w:t>institucionales</w:t>
      </w:r>
      <w:r w:rsidR="00F11F13">
        <w:rPr>
          <w:rStyle w:val="Refdenotaalpie"/>
        </w:rPr>
        <w:footnoteReference w:id="12"/>
      </w:r>
      <w:r w:rsidR="00F11F13">
        <w:t>.</w:t>
      </w:r>
    </w:p>
    <w:p w:rsidR="00375BF1" w:rsidRDefault="00F11F13" w:rsidP="00375BF1">
      <w:r>
        <w:t>Esta propuesta que me atrevo a presentar se agrega a lo que llamaríamos los “temas pendientes” a los que nos hemos referido antes: las relaciones fiscales intergubern</w:t>
      </w:r>
      <w:r>
        <w:t>a</w:t>
      </w:r>
      <w:r>
        <w:t>mentales, la reforma tributaria, el sistema de seguridad social y la gestión pública. N</w:t>
      </w:r>
      <w:r>
        <w:t>ó</w:t>
      </w:r>
      <w:r w:rsidR="00375BF1">
        <w:t>tese la co</w:t>
      </w:r>
      <w:r>
        <w:t>ns</w:t>
      </w:r>
      <w:r w:rsidR="00375BF1">
        <w:t>i</w:t>
      </w:r>
      <w:r>
        <w:t>deraci</w:t>
      </w:r>
      <w:r w:rsidR="00375BF1">
        <w:t>ón de estas cuestiones, que podríamos llamar “los viejos temas”, se enriquece cuando se las enfoca desde la perspectiva  de los “nuevos temas”.</w:t>
      </w:r>
    </w:p>
    <w:p w:rsidR="00543DB8" w:rsidRDefault="00375BF1" w:rsidP="00961FFD">
      <w:pPr>
        <w:spacing w:after="0"/>
      </w:pPr>
      <w:r>
        <w:t>Finalmente, quiero volver a resaltar que un examen de cincuenta Jornadas de Fina</w:t>
      </w:r>
      <w:r>
        <w:t>n</w:t>
      </w:r>
      <w:r>
        <w:t>zas Públicas muestran su éxito y las razones por las que se han convertido en la reunión de referencia para la consideración de las cuestiones de la Hacienda Pública. Los objetivos que inspiraron la iniciativa en 1968 se han cumplido. Lo ya logrado es la razón principal que nos debe convocar a la continuidad y al mejoramiento de estas Jornadas.</w:t>
      </w:r>
    </w:p>
    <w:p w:rsidR="00375BF1" w:rsidRDefault="00375BF1" w:rsidP="00961FFD">
      <w:pPr>
        <w:spacing w:after="0"/>
      </w:pPr>
    </w:p>
    <w:p w:rsidR="00375BF1" w:rsidRDefault="00375BF1" w:rsidP="00961FFD">
      <w:pPr>
        <w:spacing w:after="0"/>
      </w:pPr>
    </w:p>
    <w:p w:rsidR="00375BF1" w:rsidRDefault="00375BF1" w:rsidP="00E24E0A">
      <w:pPr>
        <w:ind w:left="5103"/>
        <w:jc w:val="center"/>
      </w:pPr>
      <w:r>
        <w:t>Ricardo Enrique Bara</w:t>
      </w:r>
    </w:p>
    <w:p w:rsidR="00375BF1" w:rsidRDefault="00375BF1" w:rsidP="00E24E0A">
      <w:pPr>
        <w:ind w:left="5103"/>
        <w:jc w:val="center"/>
      </w:pPr>
      <w:r>
        <w:t>Universidad Nacional del Sur</w:t>
      </w:r>
    </w:p>
    <w:p w:rsidR="00A83EE7" w:rsidRPr="007C0CBF" w:rsidRDefault="00A83EE7" w:rsidP="00A83EE7"/>
    <w:p w:rsidR="001F000A" w:rsidRDefault="001F000A" w:rsidP="00C53C5F">
      <w:pPr>
        <w:spacing w:after="0"/>
      </w:pPr>
    </w:p>
    <w:p w:rsidR="002F0C4F" w:rsidRPr="006746CB" w:rsidRDefault="001F000A" w:rsidP="00C53C5F">
      <w:pPr>
        <w:spacing w:after="0"/>
      </w:pPr>
      <w:r w:rsidRPr="006746CB">
        <w:t xml:space="preserve"> </w:t>
      </w:r>
    </w:p>
    <w:tbl>
      <w:tblPr>
        <w:tblW w:w="8589" w:type="dxa"/>
        <w:tblInd w:w="55" w:type="dxa"/>
        <w:tblCellMar>
          <w:left w:w="70" w:type="dxa"/>
          <w:right w:w="70" w:type="dxa"/>
        </w:tblCellMar>
        <w:tblLook w:val="04A0" w:firstRow="1" w:lastRow="0" w:firstColumn="1" w:lastColumn="0" w:noHBand="0" w:noVBand="1"/>
      </w:tblPr>
      <w:tblGrid>
        <w:gridCol w:w="8278"/>
        <w:gridCol w:w="311"/>
      </w:tblGrid>
      <w:tr w:rsidR="002F0C4F" w:rsidRPr="009A2499" w:rsidTr="00783939">
        <w:trPr>
          <w:trHeight w:val="315"/>
        </w:trPr>
        <w:tc>
          <w:tcPr>
            <w:tcW w:w="827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Cs/>
                <w:color w:val="000000"/>
                <w:sz w:val="28"/>
                <w:szCs w:val="24"/>
                <w:lang w:val="es-ES" w:eastAsia="es-ES"/>
              </w:rPr>
            </w:pPr>
            <w:r w:rsidRPr="009A2499">
              <w:rPr>
                <w:rFonts w:asciiTheme="minorHAnsi" w:eastAsia="Times New Roman" w:hAnsiTheme="minorHAnsi" w:cstheme="minorHAnsi"/>
                <w:bCs/>
                <w:color w:val="000000"/>
                <w:sz w:val="28"/>
                <w:szCs w:val="24"/>
                <w:lang w:val="es-ES" w:eastAsia="es-ES"/>
              </w:rPr>
              <w:t>ANEXOS</w:t>
            </w:r>
          </w:p>
          <w:p w:rsidR="002F0C4F" w:rsidRPr="009A2499" w:rsidRDefault="002F0C4F" w:rsidP="00783939">
            <w:pPr>
              <w:spacing w:after="0"/>
              <w:jc w:val="center"/>
              <w:rPr>
                <w:rFonts w:asciiTheme="minorHAnsi" w:eastAsia="Times New Roman" w:hAnsiTheme="minorHAnsi" w:cstheme="minorHAnsi"/>
                <w:bCs/>
                <w:color w:val="000000"/>
                <w:sz w:val="28"/>
                <w:szCs w:val="24"/>
                <w:lang w:val="es-ES" w:eastAsia="es-ES"/>
              </w:rPr>
            </w:pPr>
          </w:p>
          <w:tbl>
            <w:tblPr>
              <w:tblW w:w="8102" w:type="dxa"/>
              <w:tblCellMar>
                <w:left w:w="70" w:type="dxa"/>
                <w:right w:w="70" w:type="dxa"/>
              </w:tblCellMar>
              <w:tblLook w:val="04A0" w:firstRow="1" w:lastRow="0" w:firstColumn="1" w:lastColumn="0" w:noHBand="0" w:noVBand="1"/>
            </w:tblPr>
            <w:tblGrid>
              <w:gridCol w:w="1344"/>
              <w:gridCol w:w="440"/>
              <w:gridCol w:w="440"/>
              <w:gridCol w:w="572"/>
              <w:gridCol w:w="572"/>
              <w:gridCol w:w="440"/>
              <w:gridCol w:w="572"/>
              <w:gridCol w:w="572"/>
              <w:gridCol w:w="572"/>
              <w:gridCol w:w="440"/>
              <w:gridCol w:w="830"/>
              <w:gridCol w:w="1308"/>
            </w:tblGrid>
            <w:tr w:rsidR="002F0C4F" w:rsidRPr="009A2499" w:rsidTr="00783939">
              <w:trPr>
                <w:trHeight w:val="315"/>
              </w:trPr>
              <w:tc>
                <w:tcPr>
                  <w:tcW w:w="8102" w:type="dxa"/>
                  <w:gridSpan w:val="1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sz w:val="24"/>
                      <w:szCs w:val="24"/>
                      <w:lang w:val="es-ES" w:eastAsia="es-ES"/>
                    </w:rPr>
                  </w:pPr>
                  <w:r w:rsidRPr="009A2499">
                    <w:rPr>
                      <w:rFonts w:asciiTheme="minorHAnsi" w:eastAsia="Times New Roman" w:hAnsiTheme="minorHAnsi" w:cstheme="minorHAnsi"/>
                      <w:b/>
                      <w:bCs/>
                      <w:color w:val="000000"/>
                      <w:sz w:val="24"/>
                      <w:szCs w:val="24"/>
                      <w:lang w:val="es-ES" w:eastAsia="es-ES"/>
                    </w:rPr>
                    <w:t>Anexo I - Cuadro 1</w:t>
                  </w:r>
                </w:p>
              </w:tc>
            </w:tr>
            <w:tr w:rsidR="002F0C4F" w:rsidRPr="009A2499" w:rsidTr="00783939">
              <w:trPr>
                <w:trHeight w:val="315"/>
              </w:trPr>
              <w:tc>
                <w:tcPr>
                  <w:tcW w:w="8102" w:type="dxa"/>
                  <w:gridSpan w:val="1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sz w:val="24"/>
                      <w:szCs w:val="24"/>
                      <w:lang w:val="es-ES" w:eastAsia="es-ES"/>
                    </w:rPr>
                  </w:pPr>
                  <w:r w:rsidRPr="009A2499">
                    <w:rPr>
                      <w:rFonts w:asciiTheme="minorHAnsi" w:eastAsia="Times New Roman" w:hAnsiTheme="minorHAnsi" w:cstheme="minorHAnsi"/>
                      <w:b/>
                      <w:bCs/>
                      <w:color w:val="000000"/>
                      <w:sz w:val="24"/>
                      <w:szCs w:val="24"/>
                      <w:lang w:val="es-ES" w:eastAsia="es-ES"/>
                    </w:rPr>
                    <w:t>Clasificación JEL de los Trabajos de las Jornadas</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Año</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H0</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H1</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H2</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H3</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H4</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H5</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H6</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H7</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H8</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Otras</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TOTALES</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1968-1ª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10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17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1969-2ª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6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19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1970-3ª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12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1971-4ª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10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18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1972-5ª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11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1973-6ª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7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15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1974-7ª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17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1975-8ª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11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1976-9ª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14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1977-10ª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15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1978-11ª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14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1979-12ª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9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1980-13ª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16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1981-14ª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9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17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1982-15ª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6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20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1983-16ª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14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1984-17ª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6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23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1985-18ª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13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1986-19ª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6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13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lastRenderedPageBreak/>
                    <w:t>1987-20ª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9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23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1988-21ª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12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1989-22ª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19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1990-23ª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8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1991-24ª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13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1992-25ª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7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26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1993-26ª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15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1994-27ª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6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22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1995-28ª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0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27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1996-29ª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7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15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1997-30ª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26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1998-31ª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10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1999-32ª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9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22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2000-33ª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7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7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7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6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39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2001-34ª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7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7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6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18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0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47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2002-35ª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6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35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2003-36ª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10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49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2004-37ª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0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6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42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2005-38ª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9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10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7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48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2006-39ª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7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8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7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29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2007-40ª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9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7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11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39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2008-41ª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40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2009-42ª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6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8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15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35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2010-43ª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9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16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12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45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2011-44ª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8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15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32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2012-45ª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7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7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15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10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51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2013-46ª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7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6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15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41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2014-47ª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8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6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8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49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2015-48ª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8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15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10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58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2016-49ª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8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23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54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lang w:val="es-ES" w:eastAsia="es-ES"/>
                    </w:rPr>
                  </w:pPr>
                  <w:r w:rsidRPr="009A2499">
                    <w:rPr>
                      <w:rFonts w:asciiTheme="minorHAnsi" w:eastAsia="Times New Roman" w:hAnsiTheme="minorHAnsi" w:cstheme="minorHAnsi"/>
                      <w:b/>
                      <w:bCs/>
                      <w:color w:val="000000"/>
                      <w:lang w:val="es-ES" w:eastAsia="es-ES"/>
                    </w:rPr>
                    <w:t>2017-50ª</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0 </w:t>
                  </w:r>
                </w:p>
              </w:tc>
            </w:tr>
            <w:tr w:rsidR="002F0C4F" w:rsidRPr="009A2499" w:rsidTr="00783939">
              <w:trPr>
                <w:trHeight w:val="300"/>
              </w:trPr>
              <w:tc>
                <w:tcPr>
                  <w:tcW w:w="1344" w:type="dxa"/>
                  <w:tcBorders>
                    <w:top w:val="nil"/>
                    <w:left w:val="nil"/>
                    <w:bottom w:val="nil"/>
                    <w:right w:val="nil"/>
                  </w:tcBorders>
                  <w:shd w:val="clear" w:color="auto" w:fill="auto"/>
                  <w:noWrap/>
                  <w:vAlign w:val="bottom"/>
                  <w:hideMark/>
                </w:tcPr>
                <w:p w:rsidR="002F0C4F" w:rsidRPr="009A2499" w:rsidRDefault="002F0C4F" w:rsidP="00783939">
                  <w:pPr>
                    <w:spacing w:after="0"/>
                    <w:rPr>
                      <w:rFonts w:asciiTheme="minorHAnsi" w:eastAsia="Times New Roman" w:hAnsiTheme="minorHAnsi" w:cstheme="minorHAnsi"/>
                      <w:b/>
                      <w:bCs/>
                      <w:color w:val="000000"/>
                      <w:lang w:val="es-ES" w:eastAsia="es-ES"/>
                    </w:rPr>
                  </w:pP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55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28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256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144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43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151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102 </w:t>
                  </w:r>
                </w:p>
              </w:tc>
              <w:tc>
                <w:tcPr>
                  <w:tcW w:w="5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309 </w:t>
                  </w:r>
                </w:p>
              </w:tc>
              <w:tc>
                <w:tcPr>
                  <w:tcW w:w="44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45 </w:t>
                  </w:r>
                </w:p>
              </w:tc>
              <w:tc>
                <w:tcPr>
                  <w:tcW w:w="83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126 </w:t>
                  </w:r>
                </w:p>
              </w:tc>
              <w:tc>
                <w:tcPr>
                  <w:tcW w:w="130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color w:val="000000"/>
                      <w:lang w:val="es-ES" w:eastAsia="es-ES"/>
                    </w:rPr>
                  </w:pPr>
                  <w:r w:rsidRPr="009A2499">
                    <w:rPr>
                      <w:rFonts w:asciiTheme="minorHAnsi" w:eastAsia="Times New Roman" w:hAnsiTheme="minorHAnsi" w:cstheme="minorHAnsi"/>
                      <w:color w:val="000000"/>
                      <w:lang w:val="es-ES" w:eastAsia="es-ES"/>
                    </w:rPr>
                    <w:t xml:space="preserve">1.259 </w:t>
                  </w:r>
                </w:p>
              </w:tc>
            </w:tr>
          </w:tbl>
          <w:p w:rsidR="002F0C4F" w:rsidRPr="009A2499" w:rsidRDefault="002F0C4F" w:rsidP="00783939">
            <w:pPr>
              <w:spacing w:after="0"/>
              <w:jc w:val="center"/>
              <w:rPr>
                <w:rFonts w:asciiTheme="minorHAnsi" w:eastAsia="Times New Roman" w:hAnsiTheme="minorHAnsi" w:cstheme="minorHAnsi"/>
                <w:bCs/>
                <w:color w:val="000000"/>
                <w:sz w:val="24"/>
                <w:szCs w:val="24"/>
                <w:lang w:val="es-ES" w:eastAsia="es-ES"/>
              </w:rPr>
            </w:pPr>
          </w:p>
          <w:p w:rsidR="002F0C4F" w:rsidRPr="009A2499" w:rsidRDefault="002F0C4F" w:rsidP="00783939">
            <w:pPr>
              <w:spacing w:after="0"/>
              <w:jc w:val="center"/>
              <w:rPr>
                <w:rFonts w:asciiTheme="minorHAnsi" w:eastAsia="Times New Roman" w:hAnsiTheme="minorHAnsi" w:cstheme="minorHAnsi"/>
                <w:b/>
                <w:bCs/>
                <w:color w:val="000000"/>
                <w:sz w:val="24"/>
                <w:szCs w:val="24"/>
                <w:lang w:val="es-ES" w:eastAsia="es-ES"/>
              </w:rPr>
            </w:pPr>
          </w:p>
          <w:p w:rsidR="002F0C4F" w:rsidRPr="009A2499" w:rsidRDefault="002F0C4F" w:rsidP="00783939">
            <w:pPr>
              <w:spacing w:after="0"/>
              <w:jc w:val="center"/>
              <w:rPr>
                <w:rFonts w:asciiTheme="minorHAnsi" w:eastAsia="Times New Roman" w:hAnsiTheme="minorHAnsi" w:cstheme="minorHAnsi"/>
                <w:b/>
                <w:bCs/>
                <w:color w:val="000000"/>
                <w:sz w:val="24"/>
                <w:szCs w:val="24"/>
                <w:lang w:val="es-ES" w:eastAsia="es-ES"/>
              </w:rPr>
            </w:pPr>
          </w:p>
          <w:tbl>
            <w:tblPr>
              <w:tblW w:w="8100" w:type="dxa"/>
              <w:tblCellMar>
                <w:left w:w="70" w:type="dxa"/>
                <w:right w:w="70" w:type="dxa"/>
              </w:tblCellMar>
              <w:tblLook w:val="04A0" w:firstRow="1" w:lastRow="0" w:firstColumn="1" w:lastColumn="0" w:noHBand="0" w:noVBand="1"/>
            </w:tblPr>
            <w:tblGrid>
              <w:gridCol w:w="7200"/>
              <w:gridCol w:w="900"/>
            </w:tblGrid>
            <w:tr w:rsidR="002F0C4F" w:rsidRPr="009A2499" w:rsidTr="00783939">
              <w:trPr>
                <w:trHeight w:val="315"/>
              </w:trPr>
              <w:tc>
                <w:tcPr>
                  <w:tcW w:w="7200" w:type="dxa"/>
                  <w:tcBorders>
                    <w:top w:val="nil"/>
                    <w:left w:val="nil"/>
                    <w:bottom w:val="nil"/>
                    <w:right w:val="nil"/>
                  </w:tcBorders>
                  <w:shd w:val="clear" w:color="auto" w:fill="auto"/>
                  <w:noWrap/>
                  <w:vAlign w:val="bottom"/>
                </w:tcPr>
                <w:p w:rsidR="002F0C4F" w:rsidRPr="009A2499" w:rsidRDefault="002F0C4F" w:rsidP="00783939">
                  <w:pPr>
                    <w:spacing w:after="0"/>
                    <w:jc w:val="center"/>
                    <w:rPr>
                      <w:rFonts w:asciiTheme="minorHAnsi" w:eastAsia="Times New Roman" w:hAnsiTheme="minorHAnsi" w:cstheme="minorHAnsi"/>
                      <w:b/>
                      <w:bCs/>
                      <w:color w:val="000000"/>
                      <w:sz w:val="24"/>
                      <w:szCs w:val="24"/>
                      <w:lang w:val="es-ES" w:eastAsia="es-ES"/>
                    </w:rPr>
                  </w:pPr>
                </w:p>
              </w:tc>
              <w:tc>
                <w:tcPr>
                  <w:tcW w:w="900" w:type="dxa"/>
                  <w:tcBorders>
                    <w:top w:val="nil"/>
                    <w:left w:val="nil"/>
                    <w:bottom w:val="nil"/>
                    <w:right w:val="nil"/>
                  </w:tcBorders>
                  <w:shd w:val="clear" w:color="auto" w:fill="auto"/>
                  <w:noWrap/>
                  <w:vAlign w:val="bottom"/>
                </w:tcPr>
                <w:p w:rsidR="002F0C4F" w:rsidRPr="009A2499" w:rsidRDefault="002F0C4F" w:rsidP="00783939">
                  <w:pPr>
                    <w:spacing w:after="0"/>
                    <w:rPr>
                      <w:rFonts w:asciiTheme="minorHAnsi" w:eastAsia="Times New Roman" w:hAnsiTheme="minorHAnsi" w:cstheme="minorHAnsi"/>
                      <w:color w:val="000000"/>
                      <w:lang w:val="es-ES" w:eastAsia="es-ES"/>
                    </w:rPr>
                  </w:pPr>
                </w:p>
              </w:tc>
            </w:tr>
          </w:tbl>
          <w:p w:rsidR="002F0C4F" w:rsidRPr="009A2499" w:rsidRDefault="002F0C4F" w:rsidP="00783939">
            <w:pPr>
              <w:spacing w:after="0"/>
              <w:jc w:val="center"/>
              <w:rPr>
                <w:rFonts w:asciiTheme="minorHAnsi" w:eastAsia="Times New Roman" w:hAnsiTheme="minorHAnsi" w:cstheme="minorHAnsi"/>
                <w:b/>
                <w:bCs/>
                <w:color w:val="000000"/>
                <w:sz w:val="24"/>
                <w:szCs w:val="24"/>
                <w:lang w:val="es-ES" w:eastAsia="es-ES"/>
              </w:rPr>
            </w:pPr>
          </w:p>
        </w:tc>
        <w:tc>
          <w:tcPr>
            <w:tcW w:w="311" w:type="dxa"/>
            <w:tcBorders>
              <w:top w:val="nil"/>
              <w:left w:val="nil"/>
              <w:bottom w:val="nil"/>
              <w:right w:val="nil"/>
            </w:tcBorders>
            <w:shd w:val="clear" w:color="auto" w:fill="auto"/>
            <w:noWrap/>
            <w:vAlign w:val="bottom"/>
            <w:hideMark/>
          </w:tcPr>
          <w:p w:rsidR="002F0C4F" w:rsidRPr="009A2499" w:rsidRDefault="002F0C4F" w:rsidP="00783939">
            <w:pPr>
              <w:spacing w:after="0"/>
              <w:rPr>
                <w:rFonts w:asciiTheme="minorHAnsi" w:eastAsia="Times New Roman" w:hAnsiTheme="minorHAnsi" w:cstheme="minorHAnsi"/>
                <w:color w:val="000000"/>
                <w:lang w:val="es-ES" w:eastAsia="es-ES"/>
              </w:rPr>
            </w:pPr>
          </w:p>
        </w:tc>
      </w:tr>
    </w:tbl>
    <w:p w:rsidR="00847C02" w:rsidRDefault="00847C02" w:rsidP="00C53C5F">
      <w:pPr>
        <w:spacing w:after="0"/>
      </w:pPr>
    </w:p>
    <w:p w:rsidR="002F0C4F" w:rsidRDefault="002F0C4F" w:rsidP="00C53C5F">
      <w:pPr>
        <w:spacing w:after="0"/>
      </w:pPr>
    </w:p>
    <w:tbl>
      <w:tblPr>
        <w:tblW w:w="9680" w:type="dxa"/>
        <w:tblCellMar>
          <w:left w:w="70" w:type="dxa"/>
          <w:right w:w="70" w:type="dxa"/>
        </w:tblCellMar>
        <w:tblLook w:val="04A0" w:firstRow="1" w:lastRow="0" w:firstColumn="1" w:lastColumn="0" w:noHBand="0" w:noVBand="1"/>
      </w:tblPr>
      <w:tblGrid>
        <w:gridCol w:w="55"/>
        <w:gridCol w:w="1200"/>
        <w:gridCol w:w="1200"/>
        <w:gridCol w:w="1200"/>
        <w:gridCol w:w="1200"/>
        <w:gridCol w:w="1028"/>
        <w:gridCol w:w="1372"/>
        <w:gridCol w:w="847"/>
        <w:gridCol w:w="353"/>
        <w:gridCol w:w="1225"/>
      </w:tblGrid>
      <w:tr w:rsidR="002F0C4F" w:rsidRPr="009A2499" w:rsidTr="00783939">
        <w:trPr>
          <w:gridAfter w:val="2"/>
          <w:wAfter w:w="1578" w:type="dxa"/>
          <w:trHeight w:val="315"/>
        </w:trPr>
        <w:tc>
          <w:tcPr>
            <w:tcW w:w="8102" w:type="dxa"/>
            <w:gridSpan w:val="8"/>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sz w:val="24"/>
                <w:szCs w:val="24"/>
                <w:lang w:val="es-ES" w:eastAsia="es-ES"/>
              </w:rPr>
            </w:pPr>
            <w:r w:rsidRPr="009A2499">
              <w:rPr>
                <w:rFonts w:asciiTheme="minorHAnsi" w:eastAsia="Times New Roman" w:hAnsiTheme="minorHAnsi" w:cstheme="minorHAnsi"/>
                <w:b/>
                <w:bCs/>
                <w:color w:val="000000"/>
                <w:sz w:val="24"/>
                <w:szCs w:val="24"/>
                <w:lang w:val="es-ES" w:eastAsia="es-ES"/>
              </w:rPr>
              <w:t>Anexo I</w:t>
            </w:r>
            <w:r>
              <w:rPr>
                <w:rFonts w:asciiTheme="minorHAnsi" w:eastAsia="Times New Roman" w:hAnsiTheme="minorHAnsi" w:cstheme="minorHAnsi"/>
                <w:b/>
                <w:bCs/>
                <w:color w:val="000000"/>
                <w:sz w:val="24"/>
                <w:szCs w:val="24"/>
                <w:lang w:val="es-ES" w:eastAsia="es-ES"/>
              </w:rPr>
              <w:t>I</w:t>
            </w:r>
            <w:r w:rsidRPr="009A2499">
              <w:rPr>
                <w:rFonts w:asciiTheme="minorHAnsi" w:eastAsia="Times New Roman" w:hAnsiTheme="minorHAnsi" w:cstheme="minorHAnsi"/>
                <w:b/>
                <w:bCs/>
                <w:color w:val="000000"/>
                <w:sz w:val="24"/>
                <w:szCs w:val="24"/>
                <w:lang w:val="es-ES" w:eastAsia="es-ES"/>
              </w:rPr>
              <w:t xml:space="preserve"> - Cuadro </w:t>
            </w:r>
            <w:r>
              <w:rPr>
                <w:rFonts w:asciiTheme="minorHAnsi" w:eastAsia="Times New Roman" w:hAnsiTheme="minorHAnsi" w:cstheme="minorHAnsi"/>
                <w:b/>
                <w:bCs/>
                <w:color w:val="000000"/>
                <w:sz w:val="24"/>
                <w:szCs w:val="24"/>
                <w:lang w:val="es-ES" w:eastAsia="es-ES"/>
              </w:rPr>
              <w:t>2</w:t>
            </w:r>
          </w:p>
        </w:tc>
      </w:tr>
      <w:tr w:rsidR="002F0C4F" w:rsidRPr="009A2499" w:rsidTr="00783939">
        <w:trPr>
          <w:gridAfter w:val="2"/>
          <w:wAfter w:w="1578" w:type="dxa"/>
          <w:trHeight w:val="315"/>
        </w:trPr>
        <w:tc>
          <w:tcPr>
            <w:tcW w:w="8102" w:type="dxa"/>
            <w:gridSpan w:val="8"/>
            <w:tcBorders>
              <w:top w:val="nil"/>
              <w:left w:val="nil"/>
              <w:bottom w:val="nil"/>
              <w:right w:val="nil"/>
            </w:tcBorders>
            <w:shd w:val="clear" w:color="auto" w:fill="auto"/>
            <w:noWrap/>
            <w:vAlign w:val="bottom"/>
            <w:hideMark/>
          </w:tcPr>
          <w:p w:rsidR="002F0C4F" w:rsidRDefault="002F0C4F" w:rsidP="00783939">
            <w:pPr>
              <w:spacing w:after="0"/>
              <w:jc w:val="center"/>
              <w:rPr>
                <w:rFonts w:asciiTheme="minorHAnsi" w:eastAsia="Times New Roman" w:hAnsiTheme="minorHAnsi" w:cstheme="minorHAnsi"/>
                <w:b/>
                <w:bCs/>
                <w:color w:val="000000"/>
                <w:sz w:val="24"/>
                <w:szCs w:val="24"/>
                <w:lang w:val="es-ES" w:eastAsia="es-ES"/>
              </w:rPr>
            </w:pPr>
            <w:r w:rsidRPr="009A2499">
              <w:rPr>
                <w:rFonts w:asciiTheme="minorHAnsi" w:eastAsia="Times New Roman" w:hAnsiTheme="minorHAnsi" w:cstheme="minorHAnsi"/>
                <w:b/>
                <w:bCs/>
                <w:color w:val="000000"/>
                <w:sz w:val="24"/>
                <w:szCs w:val="24"/>
                <w:lang w:val="es-ES" w:eastAsia="es-ES"/>
              </w:rPr>
              <w:t xml:space="preserve">Clasificación </w:t>
            </w:r>
            <w:r>
              <w:rPr>
                <w:rFonts w:asciiTheme="minorHAnsi" w:eastAsia="Times New Roman" w:hAnsiTheme="minorHAnsi" w:cstheme="minorHAnsi"/>
                <w:b/>
                <w:bCs/>
                <w:color w:val="000000"/>
                <w:sz w:val="24"/>
                <w:szCs w:val="24"/>
                <w:lang w:val="es-ES" w:eastAsia="es-ES"/>
              </w:rPr>
              <w:t>según programas de Finanzas Públicas</w:t>
            </w:r>
          </w:p>
          <w:p w:rsidR="002F0C4F" w:rsidRPr="009A2499" w:rsidRDefault="002F0C4F" w:rsidP="00783939">
            <w:pPr>
              <w:spacing w:after="0"/>
              <w:jc w:val="center"/>
              <w:rPr>
                <w:rFonts w:asciiTheme="minorHAnsi" w:eastAsia="Times New Roman" w:hAnsiTheme="minorHAnsi" w:cstheme="minorHAnsi"/>
                <w:b/>
                <w:bCs/>
                <w:color w:val="000000"/>
                <w:sz w:val="24"/>
                <w:szCs w:val="24"/>
                <w:lang w:val="es-ES" w:eastAsia="es-ES"/>
              </w:rPr>
            </w:pPr>
            <w:r>
              <w:rPr>
                <w:rFonts w:asciiTheme="minorHAnsi" w:eastAsia="Times New Roman" w:hAnsiTheme="minorHAnsi" w:cstheme="minorHAnsi"/>
                <w:b/>
                <w:bCs/>
                <w:color w:val="000000"/>
                <w:sz w:val="24"/>
                <w:szCs w:val="24"/>
                <w:lang w:val="es-ES" w:eastAsia="es-ES"/>
              </w:rPr>
              <w:t>(Primeras columnas)</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 xml:space="preserve">Funciones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 xml:space="preserve">Gastos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proofErr w:type="spellStart"/>
            <w:r w:rsidRPr="009A2499">
              <w:rPr>
                <w:rFonts w:ascii="Calibri" w:eastAsia="Times New Roman" w:hAnsi="Calibri" w:cs="Calibri"/>
                <w:b/>
                <w:bCs/>
                <w:color w:val="000000"/>
                <w:lang w:val="es-ES" w:eastAsia="es-ES"/>
              </w:rPr>
              <w:t>Presu</w:t>
            </w:r>
            <w:proofErr w:type="spellEnd"/>
            <w:r w:rsidRPr="009A2499">
              <w:rPr>
                <w:rFonts w:ascii="Calibri" w:eastAsia="Times New Roman" w:hAnsi="Calibri" w:cs="Calibri"/>
                <w:b/>
                <w:bCs/>
                <w:color w:val="000000"/>
                <w:lang w:val="es-ES" w:eastAsia="es-ES"/>
              </w:rPr>
              <w:t>-</w:t>
            </w:r>
          </w:p>
        </w:tc>
        <w:tc>
          <w:tcPr>
            <w:tcW w:w="24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proofErr w:type="spellStart"/>
            <w:r w:rsidRPr="009A2499">
              <w:rPr>
                <w:rFonts w:ascii="Calibri" w:eastAsia="Times New Roman" w:hAnsi="Calibri" w:cs="Calibri"/>
                <w:b/>
                <w:bCs/>
                <w:color w:val="000000"/>
                <w:lang w:val="es-ES" w:eastAsia="es-ES"/>
              </w:rPr>
              <w:t>Teoria</w:t>
            </w:r>
            <w:proofErr w:type="spellEnd"/>
            <w:r w:rsidRPr="009A2499">
              <w:rPr>
                <w:rFonts w:ascii="Calibri" w:eastAsia="Times New Roman" w:hAnsi="Calibri" w:cs="Calibri"/>
                <w:b/>
                <w:bCs/>
                <w:color w:val="000000"/>
                <w:lang w:val="es-ES" w:eastAsia="es-ES"/>
              </w:rPr>
              <w:t xml:space="preserve"> de la Tributación</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 xml:space="preserve">Reforma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 xml:space="preserve">Impuestos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del Estado</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públicos</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puesto</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Positiva</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Normativa</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tributaria</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particulares</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 xml:space="preserve"> y gestión</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u w:val="single"/>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u w:val="single"/>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Año</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rPr>
                <w:rFonts w:ascii="Calibri" w:eastAsia="Times New Roman" w:hAnsi="Calibri" w:cs="Calibri"/>
                <w:color w:val="000000"/>
                <w:lang w:val="es-ES" w:eastAsia="es-ES"/>
              </w:rPr>
            </w:pP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rPr>
                <w:rFonts w:ascii="Calibri" w:eastAsia="Times New Roman" w:hAnsi="Calibri" w:cs="Calibri"/>
                <w:color w:val="000000"/>
                <w:lang w:val="es-ES" w:eastAsia="es-ES"/>
              </w:rPr>
            </w:pP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1968-1ª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5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lastRenderedPageBreak/>
              <w:t>1969-2ª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5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1970-3ª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1971-4ª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10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1972-5ª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5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1973-6ª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1974-7ª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7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6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1975-8ª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5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1976-9ª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1977-10ª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6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1978-11ª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1979-12ª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1980-13ª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1981-14ª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1982-15ª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1983-16ª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1984-17ª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1985-18ª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1986-19ª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5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1987-20ª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6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1988-21ª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1989-22ª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1990-23ª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1991-24ª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1992-25ª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5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7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1993-26ª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1994-27ª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1995-28ª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1996-29ª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1997-30ª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6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1998-31ª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1999-32ª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5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2000-33ª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7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2001-34ª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7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2002-35ª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2003-36ª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6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2004-37ª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6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2005-38ª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9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2006-39ª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5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p w:rsidR="002F0C4F" w:rsidRPr="009A2499" w:rsidRDefault="002F0C4F" w:rsidP="00783939">
            <w:pPr>
              <w:spacing w:after="0"/>
              <w:jc w:val="both"/>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2007-40ª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4</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2</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8</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5</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1</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3</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2008-41ª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7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5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2009-42ª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6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2010-43ª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5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5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2011-44ª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2012-45ª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9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11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2013-46ª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5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7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5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lastRenderedPageBreak/>
              <w:t>2014-47ª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7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9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2015-48ª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5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10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2016-49ª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6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6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5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 </w:t>
            </w: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r w:rsidRPr="009A2499">
              <w:rPr>
                <w:rFonts w:ascii="Calibri" w:eastAsia="Times New Roman" w:hAnsi="Calibri" w:cs="Calibri"/>
                <w:b/>
                <w:bCs/>
                <w:color w:val="000000"/>
                <w:lang w:val="es-ES" w:eastAsia="es-ES"/>
              </w:rPr>
              <w:t>2017-50ª</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p>
        </w:tc>
      </w:tr>
      <w:tr w:rsidR="002F0C4F" w:rsidRPr="009A2499" w:rsidTr="00783939">
        <w:trPr>
          <w:gridBefore w:val="1"/>
          <w:wBefore w:w="55" w:type="dxa"/>
          <w:trHeight w:val="300"/>
        </w:trPr>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b/>
                <w:bCs/>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70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93 </w:t>
            </w:r>
          </w:p>
        </w:tc>
        <w:tc>
          <w:tcPr>
            <w:tcW w:w="1200"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198 </w:t>
            </w:r>
          </w:p>
        </w:tc>
        <w:tc>
          <w:tcPr>
            <w:tcW w:w="1028"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105 </w:t>
            </w:r>
          </w:p>
        </w:tc>
        <w:tc>
          <w:tcPr>
            <w:tcW w:w="1372"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36 </w:t>
            </w:r>
          </w:p>
        </w:tc>
        <w:tc>
          <w:tcPr>
            <w:tcW w:w="1200" w:type="dxa"/>
            <w:gridSpan w:val="2"/>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40 </w:t>
            </w:r>
          </w:p>
        </w:tc>
        <w:tc>
          <w:tcPr>
            <w:tcW w:w="1225" w:type="dxa"/>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Calibri" w:eastAsia="Times New Roman" w:hAnsi="Calibri" w:cs="Calibri"/>
                <w:color w:val="000000"/>
                <w:lang w:val="es-ES" w:eastAsia="es-ES"/>
              </w:rPr>
            </w:pPr>
            <w:r w:rsidRPr="009A2499">
              <w:rPr>
                <w:rFonts w:ascii="Calibri" w:eastAsia="Times New Roman" w:hAnsi="Calibri" w:cs="Calibri"/>
                <w:color w:val="000000"/>
                <w:lang w:val="es-ES" w:eastAsia="es-ES"/>
              </w:rPr>
              <w:t xml:space="preserve">72 </w:t>
            </w:r>
          </w:p>
        </w:tc>
      </w:tr>
    </w:tbl>
    <w:p w:rsidR="002F0C4F" w:rsidRDefault="002F0C4F" w:rsidP="002F0C4F">
      <w:pPr>
        <w:rPr>
          <w:rFonts w:asciiTheme="minorHAnsi" w:hAnsiTheme="minorHAnsi" w:cstheme="minorHAnsi"/>
        </w:rPr>
      </w:pPr>
    </w:p>
    <w:p w:rsidR="002F0C4F" w:rsidRDefault="002F0C4F" w:rsidP="002F0C4F">
      <w:pPr>
        <w:rPr>
          <w:rFonts w:asciiTheme="minorHAnsi" w:hAnsiTheme="minorHAnsi" w:cstheme="minorHAnsi"/>
        </w:rPr>
      </w:pPr>
    </w:p>
    <w:tbl>
      <w:tblPr>
        <w:tblW w:w="9680" w:type="dxa"/>
        <w:tblCellMar>
          <w:left w:w="70" w:type="dxa"/>
          <w:right w:w="70" w:type="dxa"/>
        </w:tblCellMar>
        <w:tblLook w:val="04A0" w:firstRow="1" w:lastRow="0" w:firstColumn="1" w:lastColumn="0" w:noHBand="0" w:noVBand="1"/>
      </w:tblPr>
      <w:tblGrid>
        <w:gridCol w:w="55"/>
        <w:gridCol w:w="1200"/>
        <w:gridCol w:w="1200"/>
        <w:gridCol w:w="1200"/>
        <w:gridCol w:w="1200"/>
        <w:gridCol w:w="1200"/>
        <w:gridCol w:w="1212"/>
        <w:gridCol w:w="1200"/>
        <w:gridCol w:w="1213"/>
      </w:tblGrid>
      <w:tr w:rsidR="002F0C4F" w:rsidRPr="009A2499" w:rsidTr="00783939">
        <w:trPr>
          <w:trHeight w:val="315"/>
        </w:trPr>
        <w:tc>
          <w:tcPr>
            <w:tcW w:w="9680" w:type="dxa"/>
            <w:gridSpan w:val="9"/>
            <w:tcBorders>
              <w:top w:val="nil"/>
              <w:left w:val="nil"/>
              <w:bottom w:val="nil"/>
              <w:right w:val="nil"/>
            </w:tcBorders>
            <w:shd w:val="clear" w:color="auto" w:fill="auto"/>
            <w:noWrap/>
            <w:vAlign w:val="bottom"/>
            <w:hideMark/>
          </w:tcPr>
          <w:p w:rsidR="002F0C4F" w:rsidRPr="009A2499" w:rsidRDefault="002F0C4F" w:rsidP="00783939">
            <w:pPr>
              <w:spacing w:after="0"/>
              <w:jc w:val="center"/>
              <w:rPr>
                <w:rFonts w:asciiTheme="minorHAnsi" w:eastAsia="Times New Roman" w:hAnsiTheme="minorHAnsi" w:cstheme="minorHAnsi"/>
                <w:b/>
                <w:bCs/>
                <w:color w:val="000000"/>
                <w:sz w:val="24"/>
                <w:szCs w:val="24"/>
                <w:lang w:val="es-ES" w:eastAsia="es-ES"/>
              </w:rPr>
            </w:pPr>
            <w:r w:rsidRPr="009A2499">
              <w:rPr>
                <w:rFonts w:asciiTheme="minorHAnsi" w:eastAsia="Times New Roman" w:hAnsiTheme="minorHAnsi" w:cstheme="minorHAnsi"/>
                <w:b/>
                <w:bCs/>
                <w:color w:val="000000"/>
                <w:sz w:val="24"/>
                <w:szCs w:val="24"/>
                <w:lang w:val="es-ES" w:eastAsia="es-ES"/>
              </w:rPr>
              <w:t>Anexo I</w:t>
            </w:r>
            <w:r>
              <w:rPr>
                <w:rFonts w:asciiTheme="minorHAnsi" w:eastAsia="Times New Roman" w:hAnsiTheme="minorHAnsi" w:cstheme="minorHAnsi"/>
                <w:b/>
                <w:bCs/>
                <w:color w:val="000000"/>
                <w:sz w:val="24"/>
                <w:szCs w:val="24"/>
                <w:lang w:val="es-ES" w:eastAsia="es-ES"/>
              </w:rPr>
              <w:t>I</w:t>
            </w:r>
            <w:r w:rsidRPr="009A2499">
              <w:rPr>
                <w:rFonts w:asciiTheme="minorHAnsi" w:eastAsia="Times New Roman" w:hAnsiTheme="minorHAnsi" w:cstheme="minorHAnsi"/>
                <w:b/>
                <w:bCs/>
                <w:color w:val="000000"/>
                <w:sz w:val="24"/>
                <w:szCs w:val="24"/>
                <w:lang w:val="es-ES" w:eastAsia="es-ES"/>
              </w:rPr>
              <w:t xml:space="preserve"> - Cuadro </w:t>
            </w:r>
            <w:r>
              <w:rPr>
                <w:rFonts w:asciiTheme="minorHAnsi" w:eastAsia="Times New Roman" w:hAnsiTheme="minorHAnsi" w:cstheme="minorHAnsi"/>
                <w:b/>
                <w:bCs/>
                <w:color w:val="000000"/>
                <w:sz w:val="24"/>
                <w:szCs w:val="24"/>
                <w:lang w:val="es-ES" w:eastAsia="es-ES"/>
              </w:rPr>
              <w:t>2</w:t>
            </w:r>
          </w:p>
        </w:tc>
      </w:tr>
      <w:tr w:rsidR="002F0C4F" w:rsidRPr="009A2499" w:rsidTr="00783939">
        <w:trPr>
          <w:trHeight w:val="315"/>
        </w:trPr>
        <w:tc>
          <w:tcPr>
            <w:tcW w:w="9680" w:type="dxa"/>
            <w:gridSpan w:val="9"/>
            <w:tcBorders>
              <w:top w:val="nil"/>
              <w:left w:val="nil"/>
              <w:bottom w:val="nil"/>
              <w:right w:val="nil"/>
            </w:tcBorders>
            <w:shd w:val="clear" w:color="auto" w:fill="auto"/>
            <w:noWrap/>
            <w:vAlign w:val="bottom"/>
            <w:hideMark/>
          </w:tcPr>
          <w:p w:rsidR="002F0C4F" w:rsidRDefault="002F0C4F" w:rsidP="00783939">
            <w:pPr>
              <w:spacing w:after="0"/>
              <w:jc w:val="center"/>
              <w:rPr>
                <w:rFonts w:asciiTheme="minorHAnsi" w:eastAsia="Times New Roman" w:hAnsiTheme="minorHAnsi" w:cstheme="minorHAnsi"/>
                <w:b/>
                <w:bCs/>
                <w:color w:val="000000"/>
                <w:sz w:val="24"/>
                <w:szCs w:val="24"/>
                <w:lang w:val="es-ES" w:eastAsia="es-ES"/>
              </w:rPr>
            </w:pPr>
            <w:r w:rsidRPr="009A2499">
              <w:rPr>
                <w:rFonts w:asciiTheme="minorHAnsi" w:eastAsia="Times New Roman" w:hAnsiTheme="minorHAnsi" w:cstheme="minorHAnsi"/>
                <w:b/>
                <w:bCs/>
                <w:color w:val="000000"/>
                <w:sz w:val="24"/>
                <w:szCs w:val="24"/>
                <w:lang w:val="es-ES" w:eastAsia="es-ES"/>
              </w:rPr>
              <w:t xml:space="preserve">Clasificación </w:t>
            </w:r>
            <w:r>
              <w:rPr>
                <w:rFonts w:asciiTheme="minorHAnsi" w:eastAsia="Times New Roman" w:hAnsiTheme="minorHAnsi" w:cstheme="minorHAnsi"/>
                <w:b/>
                <w:bCs/>
                <w:color w:val="000000"/>
                <w:sz w:val="24"/>
                <w:szCs w:val="24"/>
                <w:lang w:val="es-ES" w:eastAsia="es-ES"/>
              </w:rPr>
              <w:t>según programas de Finanzas Públicas</w:t>
            </w:r>
          </w:p>
          <w:p w:rsidR="002F0C4F" w:rsidRPr="009A2499" w:rsidRDefault="002F0C4F" w:rsidP="00783939">
            <w:pPr>
              <w:spacing w:after="0"/>
              <w:jc w:val="center"/>
              <w:rPr>
                <w:rFonts w:asciiTheme="minorHAnsi" w:eastAsia="Times New Roman" w:hAnsiTheme="minorHAnsi" w:cstheme="minorHAnsi"/>
                <w:b/>
                <w:bCs/>
                <w:color w:val="000000"/>
                <w:sz w:val="24"/>
                <w:szCs w:val="24"/>
                <w:lang w:val="es-ES" w:eastAsia="es-ES"/>
              </w:rPr>
            </w:pPr>
            <w:r>
              <w:rPr>
                <w:rFonts w:asciiTheme="minorHAnsi" w:eastAsia="Times New Roman" w:hAnsiTheme="minorHAnsi" w:cstheme="minorHAnsi"/>
                <w:b/>
                <w:bCs/>
                <w:color w:val="000000"/>
                <w:sz w:val="24"/>
                <w:szCs w:val="24"/>
                <w:lang w:val="es-ES" w:eastAsia="es-ES"/>
              </w:rPr>
              <w:t>(continuación: últimas columnas)</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 xml:space="preserve">Seguridad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Otros</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Resultado</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Política</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 xml:space="preserve">Relaciones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TOTALES</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u w:val="single"/>
                <w:lang w:val="es-ES" w:eastAsia="es-ES"/>
              </w:rPr>
            </w:pPr>
            <w:r w:rsidRPr="002E5A92">
              <w:rPr>
                <w:rFonts w:ascii="Calibri" w:eastAsia="Times New Roman" w:hAnsi="Calibri" w:cs="Calibri"/>
                <w:b/>
                <w:bCs/>
                <w:color w:val="000000"/>
                <w:u w:val="single"/>
                <w:lang w:val="es-ES" w:eastAsia="es-ES"/>
              </w:rPr>
              <w:t>social</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ingresos</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fiscal y</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fiscal</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fiscales</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rPr>
                <w:rFonts w:ascii="Calibri" w:eastAsia="Times New Roman" w:hAnsi="Calibri" w:cs="Calibri"/>
                <w:color w:val="000000"/>
                <w:lang w:val="es-ES" w:eastAsia="es-ES"/>
              </w:rPr>
            </w:pP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u w:val="single"/>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Deuda</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proofErr w:type="spellStart"/>
            <w:r w:rsidRPr="002E5A92">
              <w:rPr>
                <w:rFonts w:ascii="Calibri" w:eastAsia="Times New Roman" w:hAnsi="Calibri" w:cs="Calibri"/>
                <w:b/>
                <w:bCs/>
                <w:color w:val="000000"/>
                <w:lang w:val="es-ES" w:eastAsia="es-ES"/>
              </w:rPr>
              <w:t>interguber</w:t>
            </w:r>
            <w:proofErr w:type="spellEnd"/>
            <w:r w:rsidRPr="002E5A92">
              <w:rPr>
                <w:rFonts w:ascii="Calibri" w:eastAsia="Times New Roman" w:hAnsi="Calibri" w:cs="Calibri"/>
                <w:b/>
                <w:bCs/>
                <w:color w:val="000000"/>
                <w:lang w:val="es-ES" w:eastAsia="es-ES"/>
              </w:rPr>
              <w:t>-</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u w:val="single"/>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pública</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proofErr w:type="spellStart"/>
            <w:r w:rsidRPr="002E5A92">
              <w:rPr>
                <w:rFonts w:ascii="Calibri" w:eastAsia="Times New Roman" w:hAnsi="Calibri" w:cs="Calibri"/>
                <w:b/>
                <w:bCs/>
                <w:color w:val="000000"/>
                <w:lang w:val="es-ES" w:eastAsia="es-ES"/>
              </w:rPr>
              <w:t>namentales</w:t>
            </w:r>
            <w:proofErr w:type="spellEnd"/>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Año</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rPr>
                <w:rFonts w:ascii="Calibri" w:eastAsia="Times New Roman" w:hAnsi="Calibri" w:cs="Calibri"/>
                <w:color w:val="000000"/>
                <w:lang w:val="es-ES" w:eastAsia="es-ES"/>
              </w:rPr>
            </w:pP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rPr>
                <w:rFonts w:ascii="Calibri" w:eastAsia="Times New Roman" w:hAnsi="Calibri" w:cs="Calibri"/>
                <w:color w:val="000000"/>
                <w:lang w:val="es-ES" w:eastAsia="es-ES"/>
              </w:rPr>
            </w:pP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1968-1ª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2400" w:type="dxa"/>
            <w:gridSpan w:val="2"/>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17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1969-2ª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19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1970-3ª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1</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12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1971-4ª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1</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3</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18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1972-5ª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1</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1</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11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1973-6ª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7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15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1974-7ª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17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1975-8ª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11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1976-9ª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14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1977-10ª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15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1978-11ª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14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1979-12ª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9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1980-13ª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16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1981-14ª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17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1982-15ª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6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20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1983-16ª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14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1984-17ª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8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23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1985-18ª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13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1986-19ª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13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1987-20ª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23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1988-21ª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12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1989-22ª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19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1990-23ª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8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1991-24ª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13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1992-25ª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26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1993-26ª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15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1994-27ª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10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22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1995-28ª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16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27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1996-29ª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9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15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1997-30ª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26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1998-31ª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10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lastRenderedPageBreak/>
              <w:t>1999-32ª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22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2000-33ª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9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17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39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2001-34ª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19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47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2002-35ª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9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35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2003-36ª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8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10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49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2004-37ª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5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19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42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2005-38ª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6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6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15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48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2006-39ª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8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29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2007-40ª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2</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2</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12</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39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2008-41ª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40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2009-42ª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8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8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35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2010-43ª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7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20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45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2011-44ª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15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32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2012-45ª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9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51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2013-46ª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41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2014-47ª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5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5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14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49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2015-48ª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5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8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15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58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2016-49ª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8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19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54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r w:rsidRPr="002E5A92">
              <w:rPr>
                <w:rFonts w:ascii="Calibri" w:eastAsia="Times New Roman" w:hAnsi="Calibri" w:cs="Calibri"/>
                <w:b/>
                <w:bCs/>
                <w:color w:val="000000"/>
                <w:lang w:val="es-ES" w:eastAsia="es-ES"/>
              </w:rPr>
              <w:t>2017-50ª</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0 </w:t>
            </w:r>
          </w:p>
        </w:tc>
      </w:tr>
      <w:tr w:rsidR="002F0C4F" w:rsidRPr="002E5A92" w:rsidTr="00783939">
        <w:trPr>
          <w:gridBefore w:val="1"/>
          <w:gridAfter w:val="1"/>
          <w:wBefore w:w="55" w:type="dxa"/>
          <w:wAfter w:w="1213" w:type="dxa"/>
          <w:trHeight w:val="300"/>
        </w:trPr>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b/>
                <w:bCs/>
                <w:color w:val="000000"/>
                <w:lang w:val="es-ES" w:eastAsia="es-ES"/>
              </w:rPr>
            </w:pP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38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22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71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149 </w:t>
            </w:r>
          </w:p>
        </w:tc>
        <w:tc>
          <w:tcPr>
            <w:tcW w:w="1212"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365 </w:t>
            </w:r>
          </w:p>
        </w:tc>
        <w:tc>
          <w:tcPr>
            <w:tcW w:w="1200" w:type="dxa"/>
            <w:tcBorders>
              <w:top w:val="nil"/>
              <w:left w:val="nil"/>
              <w:bottom w:val="nil"/>
              <w:right w:val="nil"/>
            </w:tcBorders>
            <w:shd w:val="clear" w:color="auto" w:fill="auto"/>
            <w:noWrap/>
            <w:vAlign w:val="bottom"/>
            <w:hideMark/>
          </w:tcPr>
          <w:p w:rsidR="002F0C4F" w:rsidRPr="002E5A92" w:rsidRDefault="002F0C4F" w:rsidP="00783939">
            <w:pPr>
              <w:spacing w:after="0"/>
              <w:jc w:val="center"/>
              <w:rPr>
                <w:rFonts w:ascii="Calibri" w:eastAsia="Times New Roman" w:hAnsi="Calibri" w:cs="Calibri"/>
                <w:color w:val="000000"/>
                <w:lang w:val="es-ES" w:eastAsia="es-ES"/>
              </w:rPr>
            </w:pPr>
            <w:r w:rsidRPr="002E5A92">
              <w:rPr>
                <w:rFonts w:ascii="Calibri" w:eastAsia="Times New Roman" w:hAnsi="Calibri" w:cs="Calibri"/>
                <w:color w:val="000000"/>
                <w:lang w:val="es-ES" w:eastAsia="es-ES"/>
              </w:rPr>
              <w:t xml:space="preserve">1.259 </w:t>
            </w:r>
          </w:p>
        </w:tc>
      </w:tr>
    </w:tbl>
    <w:p w:rsidR="002F0C4F" w:rsidRPr="006746CB" w:rsidRDefault="002F0C4F" w:rsidP="00C53C5F">
      <w:pPr>
        <w:spacing w:after="0"/>
      </w:pPr>
      <w:bookmarkStart w:id="0" w:name="_GoBack"/>
      <w:bookmarkEnd w:id="0"/>
    </w:p>
    <w:sectPr w:rsidR="002F0C4F" w:rsidRPr="006746CB">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C00" w:rsidRDefault="00E15C00" w:rsidP="00F95921">
      <w:pPr>
        <w:spacing w:after="0"/>
      </w:pPr>
      <w:r>
        <w:separator/>
      </w:r>
    </w:p>
  </w:endnote>
  <w:endnote w:type="continuationSeparator" w:id="0">
    <w:p w:rsidR="00E15C00" w:rsidRDefault="00E15C00" w:rsidP="00F959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860622"/>
      <w:docPartObj>
        <w:docPartGallery w:val="Page Numbers (Bottom of Page)"/>
        <w:docPartUnique/>
      </w:docPartObj>
    </w:sdtPr>
    <w:sdtEndPr/>
    <w:sdtContent>
      <w:p w:rsidR="00E711F1" w:rsidRDefault="00E711F1">
        <w:pPr>
          <w:pStyle w:val="Piedepgina"/>
          <w:jc w:val="right"/>
        </w:pPr>
        <w:r>
          <w:fldChar w:fldCharType="begin"/>
        </w:r>
        <w:r>
          <w:instrText>PAGE   \* MERGEFORMAT</w:instrText>
        </w:r>
        <w:r>
          <w:fldChar w:fldCharType="separate"/>
        </w:r>
        <w:r w:rsidR="002F0C4F" w:rsidRPr="002F0C4F">
          <w:rPr>
            <w:noProof/>
            <w:lang w:val="es-ES"/>
          </w:rPr>
          <w:t>11</w:t>
        </w:r>
        <w:r>
          <w:fldChar w:fldCharType="end"/>
        </w:r>
      </w:p>
    </w:sdtContent>
  </w:sdt>
  <w:p w:rsidR="00E711F1" w:rsidRDefault="00E711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C00" w:rsidRDefault="00E15C00" w:rsidP="00F95921">
      <w:pPr>
        <w:spacing w:after="0"/>
      </w:pPr>
      <w:r>
        <w:separator/>
      </w:r>
    </w:p>
  </w:footnote>
  <w:footnote w:type="continuationSeparator" w:id="0">
    <w:p w:rsidR="00E15C00" w:rsidRDefault="00E15C00" w:rsidP="00F95921">
      <w:pPr>
        <w:spacing w:after="0"/>
      </w:pPr>
      <w:r>
        <w:continuationSeparator/>
      </w:r>
    </w:p>
  </w:footnote>
  <w:footnote w:id="1">
    <w:p w:rsidR="00E711F1" w:rsidRPr="005C765F" w:rsidRDefault="00E711F1" w:rsidP="00F95921">
      <w:pPr>
        <w:pStyle w:val="Textonotapie"/>
        <w:rPr>
          <w:lang w:val="es-ES"/>
        </w:rPr>
      </w:pPr>
      <w:r w:rsidRPr="005C765F">
        <w:rPr>
          <w:rStyle w:val="Refdenotaalpie"/>
          <w:sz w:val="22"/>
        </w:rPr>
        <w:footnoteRef/>
      </w:r>
      <w:r w:rsidRPr="005C765F">
        <w:rPr>
          <w:sz w:val="22"/>
        </w:rPr>
        <w:t xml:space="preserve"> </w:t>
      </w:r>
      <w:r>
        <w:rPr>
          <w:sz w:val="22"/>
        </w:rPr>
        <w:t>La Tributación en la Argentina. Trabajos presentados en las Primeras Jornadas de Finanzas Públicas (1969), Editorial Macchi, Buenos Aires, p: XXI-XXVII</w:t>
      </w:r>
    </w:p>
  </w:footnote>
  <w:footnote w:id="2">
    <w:p w:rsidR="00E711F1" w:rsidRPr="00A20714" w:rsidRDefault="00E711F1" w:rsidP="00F95921">
      <w:pPr>
        <w:pStyle w:val="Textonotapie"/>
        <w:rPr>
          <w:lang w:val="es-ES"/>
        </w:rPr>
      </w:pPr>
      <w:r w:rsidRPr="00A20714">
        <w:rPr>
          <w:rStyle w:val="Refdenotaalpie"/>
          <w:sz w:val="22"/>
        </w:rPr>
        <w:footnoteRef/>
      </w:r>
      <w:r w:rsidRPr="00A20714">
        <w:rPr>
          <w:sz w:val="22"/>
        </w:rPr>
        <w:t xml:space="preserve"> </w:t>
      </w:r>
      <w:r>
        <w:rPr>
          <w:sz w:val="22"/>
        </w:rPr>
        <w:t xml:space="preserve">La Tributación en la Argentina (1959): </w:t>
      </w:r>
      <w:proofErr w:type="spellStart"/>
      <w:r>
        <w:rPr>
          <w:sz w:val="22"/>
        </w:rPr>
        <w:t>op</w:t>
      </w:r>
      <w:proofErr w:type="spellEnd"/>
      <w:r>
        <w:rPr>
          <w:sz w:val="22"/>
        </w:rPr>
        <w:t>. cit. p: XXVII-XXIX.</w:t>
      </w:r>
    </w:p>
  </w:footnote>
  <w:footnote w:id="3">
    <w:p w:rsidR="00E711F1" w:rsidRPr="008338C7" w:rsidRDefault="00E711F1" w:rsidP="00F95921">
      <w:pPr>
        <w:pStyle w:val="Textonotapie"/>
        <w:rPr>
          <w:lang w:val="es-ES"/>
        </w:rPr>
      </w:pPr>
      <w:r w:rsidRPr="008338C7">
        <w:rPr>
          <w:rStyle w:val="Refdenotaalpie"/>
          <w:sz w:val="22"/>
        </w:rPr>
        <w:footnoteRef/>
      </w:r>
      <w:r w:rsidRPr="008338C7">
        <w:rPr>
          <w:sz w:val="22"/>
        </w:rPr>
        <w:t xml:space="preserve"> </w:t>
      </w:r>
      <w:r>
        <w:rPr>
          <w:sz w:val="22"/>
        </w:rPr>
        <w:t>Por obvias razones no se ha contado con los trabajos que se presentarán en las 50º Jornadas.</w:t>
      </w:r>
    </w:p>
  </w:footnote>
  <w:footnote w:id="4">
    <w:p w:rsidR="00E711F1" w:rsidRPr="00984CAA" w:rsidRDefault="00E711F1" w:rsidP="00F95921">
      <w:pPr>
        <w:pStyle w:val="Textonotapie"/>
        <w:rPr>
          <w:lang w:val="es-ES"/>
        </w:rPr>
      </w:pPr>
      <w:r w:rsidRPr="00984CAA">
        <w:rPr>
          <w:rStyle w:val="Refdenotaalpie"/>
          <w:sz w:val="22"/>
        </w:rPr>
        <w:footnoteRef/>
      </w:r>
      <w:r w:rsidRPr="00984CAA">
        <w:rPr>
          <w:sz w:val="22"/>
        </w:rPr>
        <w:t xml:space="preserve"> </w:t>
      </w:r>
      <w:r>
        <w:rPr>
          <w:sz w:val="22"/>
        </w:rPr>
        <w:t>Contamos también con el importante artículo de Walter Rosales (Universidad Naci</w:t>
      </w:r>
      <w:r>
        <w:rPr>
          <w:sz w:val="22"/>
        </w:rPr>
        <w:t>o</w:t>
      </w:r>
      <w:r>
        <w:rPr>
          <w:sz w:val="22"/>
        </w:rPr>
        <w:t xml:space="preserve">nal de La Plata) y Rubén Armando </w:t>
      </w:r>
      <w:proofErr w:type="spellStart"/>
      <w:r>
        <w:rPr>
          <w:sz w:val="22"/>
        </w:rPr>
        <w:t>Pelozo</w:t>
      </w:r>
      <w:proofErr w:type="spellEnd"/>
      <w:r>
        <w:rPr>
          <w:sz w:val="22"/>
        </w:rPr>
        <w:t xml:space="preserve"> (Universidad Nacional del Nordeste) titulado “Una mirada retrospectiva a los estudios de Finanzas Públicas en Argentina” prese</w:t>
      </w:r>
      <w:r>
        <w:rPr>
          <w:sz w:val="22"/>
        </w:rPr>
        <w:t>n</w:t>
      </w:r>
      <w:r>
        <w:rPr>
          <w:sz w:val="22"/>
        </w:rPr>
        <w:t>tado en las Jornadas de 2007, que contiene una clasificación y análisis de los trabajos presentados en las 20 Jornadas comprendidas entre los años 1987 y 2006.</w:t>
      </w:r>
    </w:p>
  </w:footnote>
  <w:footnote w:id="5">
    <w:p w:rsidR="00E711F1" w:rsidRPr="00C61CDD" w:rsidRDefault="00E711F1">
      <w:pPr>
        <w:pStyle w:val="Textonotapie"/>
        <w:rPr>
          <w:lang w:val="es-ES"/>
        </w:rPr>
      </w:pPr>
      <w:r w:rsidRPr="00C61CDD">
        <w:rPr>
          <w:rStyle w:val="Refdenotaalpie"/>
          <w:sz w:val="22"/>
        </w:rPr>
        <w:footnoteRef/>
      </w:r>
      <w:r w:rsidRPr="00C61CDD">
        <w:rPr>
          <w:sz w:val="22"/>
        </w:rPr>
        <w:t xml:space="preserve"> </w:t>
      </w:r>
      <w:r>
        <w:rPr>
          <w:sz w:val="22"/>
        </w:rPr>
        <w:t xml:space="preserve">Los Cuadros y Gráficos son de elaboración propia en base a datos MECON, INDEC y </w:t>
      </w:r>
      <w:proofErr w:type="spellStart"/>
      <w:r>
        <w:rPr>
          <w:sz w:val="22"/>
        </w:rPr>
        <w:t>Maddison</w:t>
      </w:r>
      <w:proofErr w:type="spellEnd"/>
      <w:r>
        <w:rPr>
          <w:sz w:val="22"/>
        </w:rPr>
        <w:t xml:space="preserve"> </w:t>
      </w:r>
      <w:proofErr w:type="spellStart"/>
      <w:r>
        <w:rPr>
          <w:sz w:val="22"/>
        </w:rPr>
        <w:t>Proyect</w:t>
      </w:r>
      <w:proofErr w:type="spellEnd"/>
      <w:r>
        <w:rPr>
          <w:sz w:val="22"/>
        </w:rPr>
        <w:t xml:space="preserve"> (en este caso los datos disponibles llegan hasta 2010</w:t>
      </w:r>
      <w:r w:rsidR="00F37342">
        <w:rPr>
          <w:sz w:val="22"/>
        </w:rPr>
        <w:t>)</w:t>
      </w:r>
      <w:r>
        <w:rPr>
          <w:sz w:val="22"/>
        </w:rPr>
        <w:t>.</w:t>
      </w:r>
    </w:p>
  </w:footnote>
  <w:footnote w:id="6">
    <w:p w:rsidR="00E711F1" w:rsidRPr="00B16C9A" w:rsidRDefault="00E711F1">
      <w:pPr>
        <w:pStyle w:val="Textonotapie"/>
        <w:rPr>
          <w:lang w:val="es-ES"/>
        </w:rPr>
      </w:pPr>
      <w:r w:rsidRPr="00B16C9A">
        <w:rPr>
          <w:rStyle w:val="Refdenotaalpie"/>
          <w:sz w:val="22"/>
        </w:rPr>
        <w:footnoteRef/>
      </w:r>
      <w:r w:rsidRPr="00B16C9A">
        <w:rPr>
          <w:sz w:val="22"/>
        </w:rPr>
        <w:t xml:space="preserve"> </w:t>
      </w:r>
      <w:r>
        <w:rPr>
          <w:sz w:val="22"/>
        </w:rPr>
        <w:t xml:space="preserve">Los gráficos de </w:t>
      </w:r>
      <w:r w:rsidR="00F37342">
        <w:rPr>
          <w:sz w:val="22"/>
        </w:rPr>
        <w:t>datos fiscales han sido elabora</w:t>
      </w:r>
      <w:r>
        <w:rPr>
          <w:sz w:val="22"/>
        </w:rPr>
        <w:t>dos con datos de MECO, FIEL, I</w:t>
      </w:r>
      <w:r>
        <w:rPr>
          <w:sz w:val="22"/>
        </w:rPr>
        <w:t>E</w:t>
      </w:r>
      <w:r>
        <w:rPr>
          <w:sz w:val="22"/>
        </w:rPr>
        <w:t xml:space="preserve">RAL, IARAF y Orlando </w:t>
      </w:r>
      <w:proofErr w:type="spellStart"/>
      <w:r>
        <w:rPr>
          <w:sz w:val="22"/>
        </w:rPr>
        <w:t>Ferreres</w:t>
      </w:r>
      <w:proofErr w:type="spellEnd"/>
      <w:r>
        <w:rPr>
          <w:sz w:val="22"/>
        </w:rPr>
        <w:t xml:space="preserve"> (direct</w:t>
      </w:r>
      <w:r w:rsidR="00F37342">
        <w:rPr>
          <w:sz w:val="22"/>
        </w:rPr>
        <w:t>or</w:t>
      </w:r>
      <w:r>
        <w:rPr>
          <w:sz w:val="22"/>
        </w:rPr>
        <w:t xml:space="preserve">): </w:t>
      </w:r>
      <w:r>
        <w:rPr>
          <w:i/>
          <w:sz w:val="22"/>
        </w:rPr>
        <w:t>Dos siglos de economía argentina</w:t>
      </w:r>
      <w:r>
        <w:rPr>
          <w:sz w:val="22"/>
        </w:rPr>
        <w:t>, Fund</w:t>
      </w:r>
      <w:r>
        <w:rPr>
          <w:sz w:val="22"/>
        </w:rPr>
        <w:t>a</w:t>
      </w:r>
      <w:r>
        <w:rPr>
          <w:sz w:val="22"/>
        </w:rPr>
        <w:t>ción Norte y Sur, Buenos Aires.</w:t>
      </w:r>
    </w:p>
  </w:footnote>
  <w:footnote w:id="7">
    <w:p w:rsidR="00E711F1" w:rsidRPr="000259CC" w:rsidRDefault="00E711F1">
      <w:pPr>
        <w:pStyle w:val="Textonotapie"/>
        <w:rPr>
          <w:lang w:val="es-ES"/>
        </w:rPr>
      </w:pPr>
      <w:r w:rsidRPr="000259CC">
        <w:rPr>
          <w:rStyle w:val="Refdenotaalpie"/>
          <w:sz w:val="22"/>
        </w:rPr>
        <w:footnoteRef/>
      </w:r>
      <w:r w:rsidRPr="000259CC">
        <w:rPr>
          <w:sz w:val="22"/>
        </w:rPr>
        <w:t xml:space="preserve"> </w:t>
      </w:r>
      <w:r>
        <w:rPr>
          <w:sz w:val="22"/>
        </w:rPr>
        <w:t xml:space="preserve">Datos de Orlando </w:t>
      </w:r>
      <w:proofErr w:type="spellStart"/>
      <w:r>
        <w:rPr>
          <w:sz w:val="22"/>
        </w:rPr>
        <w:t>Ferreres</w:t>
      </w:r>
      <w:proofErr w:type="spellEnd"/>
      <w:r>
        <w:rPr>
          <w:sz w:val="22"/>
        </w:rPr>
        <w:t xml:space="preserve">: </w:t>
      </w:r>
      <w:proofErr w:type="spellStart"/>
      <w:r>
        <w:rPr>
          <w:sz w:val="22"/>
        </w:rPr>
        <w:t>op.cit</w:t>
      </w:r>
      <w:proofErr w:type="spellEnd"/>
      <w:r>
        <w:rPr>
          <w:sz w:val="22"/>
        </w:rPr>
        <w:t>.</w:t>
      </w:r>
    </w:p>
  </w:footnote>
  <w:footnote w:id="8">
    <w:p w:rsidR="00E711F1" w:rsidRPr="001F000A" w:rsidRDefault="00E711F1">
      <w:pPr>
        <w:pStyle w:val="Textonotapie"/>
        <w:rPr>
          <w:lang w:val="es-ES"/>
        </w:rPr>
      </w:pPr>
      <w:r w:rsidRPr="001F000A">
        <w:rPr>
          <w:rStyle w:val="Refdenotaalpie"/>
          <w:sz w:val="22"/>
        </w:rPr>
        <w:footnoteRef/>
      </w:r>
      <w:r w:rsidRPr="001F000A">
        <w:rPr>
          <w:sz w:val="22"/>
        </w:rPr>
        <w:t xml:space="preserve"> </w:t>
      </w:r>
      <w:r>
        <w:rPr>
          <w:sz w:val="22"/>
        </w:rPr>
        <w:t>Las citas están tomadas de Reforma Tributaria para la República Argentina, Tercera Jornadas de Finanzas Públicas, Córdoba, 1970, y corresponden a Horacio Arce, Enr</w:t>
      </w:r>
      <w:r>
        <w:rPr>
          <w:sz w:val="22"/>
        </w:rPr>
        <w:t>i</w:t>
      </w:r>
      <w:r>
        <w:rPr>
          <w:sz w:val="22"/>
        </w:rPr>
        <w:t xml:space="preserve">que </w:t>
      </w:r>
      <w:proofErr w:type="spellStart"/>
      <w:r>
        <w:rPr>
          <w:sz w:val="22"/>
        </w:rPr>
        <w:t>Reig</w:t>
      </w:r>
      <w:proofErr w:type="spellEnd"/>
      <w:r>
        <w:rPr>
          <w:sz w:val="22"/>
        </w:rPr>
        <w:t xml:space="preserve">, Amalio Humberto </w:t>
      </w:r>
      <w:proofErr w:type="spellStart"/>
      <w:r>
        <w:rPr>
          <w:sz w:val="22"/>
        </w:rPr>
        <w:t>Petrei</w:t>
      </w:r>
      <w:proofErr w:type="spellEnd"/>
      <w:r>
        <w:rPr>
          <w:sz w:val="22"/>
        </w:rPr>
        <w:t xml:space="preserve">, </w:t>
      </w:r>
      <w:proofErr w:type="spellStart"/>
      <w:r>
        <w:rPr>
          <w:sz w:val="22"/>
        </w:rPr>
        <w:t>Dino</w:t>
      </w:r>
      <w:proofErr w:type="spellEnd"/>
      <w:r>
        <w:rPr>
          <w:sz w:val="22"/>
        </w:rPr>
        <w:t xml:space="preserve"> </w:t>
      </w:r>
      <w:proofErr w:type="spellStart"/>
      <w:r>
        <w:rPr>
          <w:sz w:val="22"/>
        </w:rPr>
        <w:t>Jarach</w:t>
      </w:r>
      <w:proofErr w:type="spellEnd"/>
      <w:r>
        <w:rPr>
          <w:sz w:val="22"/>
        </w:rPr>
        <w:t xml:space="preserve">, entre otros destacados </w:t>
      </w:r>
      <w:proofErr w:type="spellStart"/>
      <w:r>
        <w:rPr>
          <w:sz w:val="22"/>
        </w:rPr>
        <w:t>tributaristas</w:t>
      </w:r>
      <w:proofErr w:type="spellEnd"/>
      <w:r>
        <w:rPr>
          <w:sz w:val="22"/>
        </w:rPr>
        <w:t>.</w:t>
      </w:r>
    </w:p>
  </w:footnote>
  <w:footnote w:id="9">
    <w:p w:rsidR="00E711F1" w:rsidRPr="00E64E74" w:rsidRDefault="00E711F1">
      <w:pPr>
        <w:pStyle w:val="Textonotapie"/>
        <w:rPr>
          <w:lang w:val="es-ES"/>
        </w:rPr>
      </w:pPr>
      <w:r w:rsidRPr="00E64E74">
        <w:rPr>
          <w:rStyle w:val="Refdenotaalpie"/>
          <w:sz w:val="22"/>
        </w:rPr>
        <w:footnoteRef/>
      </w:r>
      <w:r w:rsidRPr="00E64E74">
        <w:rPr>
          <w:sz w:val="22"/>
        </w:rPr>
        <w:t xml:space="preserve"> </w:t>
      </w:r>
      <w:r>
        <w:rPr>
          <w:sz w:val="22"/>
        </w:rPr>
        <w:t>Un panel sobre Seguridad Social, que tuvo lugar en las 48º Jornadas, se tituló: “Pr</w:t>
      </w:r>
      <w:r>
        <w:rPr>
          <w:sz w:val="22"/>
        </w:rPr>
        <w:t>o</w:t>
      </w:r>
      <w:r>
        <w:rPr>
          <w:sz w:val="22"/>
        </w:rPr>
        <w:t xml:space="preserve">blemas de </w:t>
      </w:r>
      <w:proofErr w:type="gramStart"/>
      <w:r>
        <w:rPr>
          <w:sz w:val="22"/>
        </w:rPr>
        <w:t>hoy …</w:t>
      </w:r>
      <w:proofErr w:type="gramEnd"/>
      <w:r>
        <w:rPr>
          <w:sz w:val="22"/>
        </w:rPr>
        <w:t xml:space="preserve"> y de siempre”.</w:t>
      </w:r>
    </w:p>
  </w:footnote>
  <w:footnote w:id="10">
    <w:p w:rsidR="00E711F1" w:rsidRPr="00543DB8" w:rsidRDefault="00E711F1">
      <w:pPr>
        <w:pStyle w:val="Textonotapie"/>
        <w:rPr>
          <w:lang w:val="es-ES"/>
        </w:rPr>
      </w:pPr>
      <w:r w:rsidRPr="00543DB8">
        <w:rPr>
          <w:rStyle w:val="Refdenotaalpie"/>
          <w:sz w:val="22"/>
        </w:rPr>
        <w:footnoteRef/>
      </w:r>
      <w:r w:rsidRPr="00543DB8">
        <w:rPr>
          <w:sz w:val="22"/>
        </w:rPr>
        <w:t xml:space="preserve"> </w:t>
      </w:r>
      <w:r>
        <w:rPr>
          <w:sz w:val="22"/>
        </w:rPr>
        <w:t xml:space="preserve">En los últimos años se han expuesto en las Jornadas las interesantes reformas de Brasil sobre esta materia. </w:t>
      </w:r>
    </w:p>
  </w:footnote>
  <w:footnote w:id="11">
    <w:p w:rsidR="00E711F1" w:rsidRPr="00F11F13" w:rsidRDefault="00E711F1">
      <w:pPr>
        <w:pStyle w:val="Textonotapie"/>
        <w:rPr>
          <w:sz w:val="22"/>
          <w:lang w:val="es-ES"/>
        </w:rPr>
      </w:pPr>
      <w:r w:rsidRPr="00F11F13">
        <w:rPr>
          <w:rStyle w:val="Refdenotaalpie"/>
          <w:sz w:val="22"/>
        </w:rPr>
        <w:footnoteRef/>
      </w:r>
      <w:r w:rsidRPr="00F11F13">
        <w:rPr>
          <w:sz w:val="22"/>
        </w:rPr>
        <w:t xml:space="preserve"> </w:t>
      </w:r>
      <w:r w:rsidRPr="00F11F13">
        <w:rPr>
          <w:sz w:val="22"/>
          <w:lang w:val="es-ES"/>
        </w:rPr>
        <w:t>Dos observaciones interesantes. Primero, en 28ª Jornadas (1995) Juan Carlos Le</w:t>
      </w:r>
      <w:r w:rsidRPr="00F11F13">
        <w:rPr>
          <w:sz w:val="22"/>
          <w:lang w:val="es-ES"/>
        </w:rPr>
        <w:t>r</w:t>
      </w:r>
      <w:r w:rsidRPr="00F11F13">
        <w:rPr>
          <w:sz w:val="22"/>
          <w:lang w:val="es-ES"/>
        </w:rPr>
        <w:t>da expuso sobre la importancia de esta cuestión. Segundo, cuestiones significativas de las reglas internaciones de competencia se originan en la fiscalidad implícita. La a</w:t>
      </w:r>
      <w:r w:rsidRPr="00F11F13">
        <w:rPr>
          <w:sz w:val="22"/>
          <w:lang w:val="es-ES"/>
        </w:rPr>
        <w:t>c</w:t>
      </w:r>
      <w:r w:rsidRPr="00F11F13">
        <w:rPr>
          <w:sz w:val="22"/>
          <w:lang w:val="es-ES"/>
        </w:rPr>
        <w:t>tual controversi</w:t>
      </w:r>
      <w:r w:rsidR="00A91EEF">
        <w:rPr>
          <w:sz w:val="22"/>
          <w:lang w:val="es-ES"/>
        </w:rPr>
        <w:t>a</w:t>
      </w:r>
      <w:r w:rsidRPr="00F11F13">
        <w:rPr>
          <w:sz w:val="22"/>
          <w:lang w:val="es-ES"/>
        </w:rPr>
        <w:t xml:space="preserve"> sobre biodiesel entre Argentina y Estados Unidos tiene mucho que con esta cuestión.</w:t>
      </w:r>
    </w:p>
  </w:footnote>
  <w:footnote w:id="12">
    <w:p w:rsidR="00E711F1" w:rsidRPr="00F11F13" w:rsidRDefault="00E711F1">
      <w:pPr>
        <w:pStyle w:val="Textonotapie"/>
        <w:rPr>
          <w:lang w:val="es-ES"/>
        </w:rPr>
      </w:pPr>
      <w:r w:rsidRPr="00F11F13">
        <w:rPr>
          <w:rStyle w:val="Refdenotaalpie"/>
          <w:sz w:val="22"/>
        </w:rPr>
        <w:footnoteRef/>
      </w:r>
      <w:r w:rsidRPr="00F11F13">
        <w:rPr>
          <w:sz w:val="22"/>
        </w:rPr>
        <w:t xml:space="preserve"> </w:t>
      </w:r>
      <w:r>
        <w:rPr>
          <w:sz w:val="22"/>
        </w:rPr>
        <w:t>Es interesante notar que en los últimos años se han presentado varios trabajos ref</w:t>
      </w:r>
      <w:r>
        <w:rPr>
          <w:sz w:val="22"/>
        </w:rPr>
        <w:t>e</w:t>
      </w:r>
      <w:r>
        <w:rPr>
          <w:sz w:val="22"/>
        </w:rPr>
        <w:t>ridos a los temas mencionados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A364C"/>
    <w:multiLevelType w:val="hybridMultilevel"/>
    <w:tmpl w:val="7AA8E75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921"/>
    <w:rsid w:val="000049B8"/>
    <w:rsid w:val="00005904"/>
    <w:rsid w:val="000259CC"/>
    <w:rsid w:val="0003272D"/>
    <w:rsid w:val="00046B6F"/>
    <w:rsid w:val="00053EFA"/>
    <w:rsid w:val="000D270F"/>
    <w:rsid w:val="00135C0E"/>
    <w:rsid w:val="001A3B4B"/>
    <w:rsid w:val="001F000A"/>
    <w:rsid w:val="00226D98"/>
    <w:rsid w:val="00247421"/>
    <w:rsid w:val="0027460D"/>
    <w:rsid w:val="002A7AD7"/>
    <w:rsid w:val="002E0F45"/>
    <w:rsid w:val="002E1625"/>
    <w:rsid w:val="002F0C4F"/>
    <w:rsid w:val="00300D1D"/>
    <w:rsid w:val="00375BF1"/>
    <w:rsid w:val="0039048D"/>
    <w:rsid w:val="003A26FD"/>
    <w:rsid w:val="004077B1"/>
    <w:rsid w:val="00433A60"/>
    <w:rsid w:val="004819B2"/>
    <w:rsid w:val="004E38A5"/>
    <w:rsid w:val="00523B5B"/>
    <w:rsid w:val="0053350E"/>
    <w:rsid w:val="00543DB8"/>
    <w:rsid w:val="00546D1A"/>
    <w:rsid w:val="00553080"/>
    <w:rsid w:val="00562BAE"/>
    <w:rsid w:val="005637F5"/>
    <w:rsid w:val="005C51D9"/>
    <w:rsid w:val="005D511C"/>
    <w:rsid w:val="00651BB0"/>
    <w:rsid w:val="006633B6"/>
    <w:rsid w:val="006746CB"/>
    <w:rsid w:val="00681B59"/>
    <w:rsid w:val="006D339A"/>
    <w:rsid w:val="006F4434"/>
    <w:rsid w:val="007C0CBF"/>
    <w:rsid w:val="007C40CE"/>
    <w:rsid w:val="007C6AE5"/>
    <w:rsid w:val="007D3B8D"/>
    <w:rsid w:val="00807F5D"/>
    <w:rsid w:val="00847C02"/>
    <w:rsid w:val="00871B6B"/>
    <w:rsid w:val="00885B05"/>
    <w:rsid w:val="008921D2"/>
    <w:rsid w:val="008C1CDA"/>
    <w:rsid w:val="00914D2A"/>
    <w:rsid w:val="00961FFD"/>
    <w:rsid w:val="00962FCA"/>
    <w:rsid w:val="009D32F6"/>
    <w:rsid w:val="009E6EC8"/>
    <w:rsid w:val="009F3FA1"/>
    <w:rsid w:val="00A174B5"/>
    <w:rsid w:val="00A83EE7"/>
    <w:rsid w:val="00A91EEF"/>
    <w:rsid w:val="00AA634C"/>
    <w:rsid w:val="00B0551A"/>
    <w:rsid w:val="00B05A91"/>
    <w:rsid w:val="00B16C9A"/>
    <w:rsid w:val="00B4196E"/>
    <w:rsid w:val="00B4555A"/>
    <w:rsid w:val="00C045A2"/>
    <w:rsid w:val="00C53C5F"/>
    <w:rsid w:val="00C61CDD"/>
    <w:rsid w:val="00C7217D"/>
    <w:rsid w:val="00D15776"/>
    <w:rsid w:val="00D15AD9"/>
    <w:rsid w:val="00D4198D"/>
    <w:rsid w:val="00DA18CA"/>
    <w:rsid w:val="00DD43E2"/>
    <w:rsid w:val="00DF3D70"/>
    <w:rsid w:val="00E13F79"/>
    <w:rsid w:val="00E15C00"/>
    <w:rsid w:val="00E24E0A"/>
    <w:rsid w:val="00E274A4"/>
    <w:rsid w:val="00E64E74"/>
    <w:rsid w:val="00E66FBB"/>
    <w:rsid w:val="00E711F1"/>
    <w:rsid w:val="00EC4107"/>
    <w:rsid w:val="00F11F13"/>
    <w:rsid w:val="00F37342"/>
    <w:rsid w:val="00F3738D"/>
    <w:rsid w:val="00F41250"/>
    <w:rsid w:val="00F95921"/>
    <w:rsid w:val="00FB04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s-E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21"/>
    <w:rPr>
      <w:rFonts w:cs="Arial"/>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95921"/>
    <w:pPr>
      <w:spacing w:after="0"/>
    </w:pPr>
    <w:rPr>
      <w:sz w:val="20"/>
      <w:szCs w:val="20"/>
    </w:rPr>
  </w:style>
  <w:style w:type="character" w:customStyle="1" w:styleId="TextonotapieCar">
    <w:name w:val="Texto nota pie Car"/>
    <w:basedOn w:val="Fuentedeprrafopredeter"/>
    <w:link w:val="Textonotapie"/>
    <w:uiPriority w:val="99"/>
    <w:semiHidden/>
    <w:rsid w:val="00F95921"/>
    <w:rPr>
      <w:rFonts w:cs="Arial"/>
      <w:sz w:val="20"/>
      <w:szCs w:val="20"/>
      <w:lang w:val="es-AR"/>
    </w:rPr>
  </w:style>
  <w:style w:type="character" w:styleId="Refdenotaalpie">
    <w:name w:val="footnote reference"/>
    <w:basedOn w:val="Fuentedeprrafopredeter"/>
    <w:uiPriority w:val="99"/>
    <w:semiHidden/>
    <w:unhideWhenUsed/>
    <w:rsid w:val="00F95921"/>
    <w:rPr>
      <w:vertAlign w:val="superscript"/>
    </w:rPr>
  </w:style>
  <w:style w:type="table" w:styleId="Tablaconcuadrcula">
    <w:name w:val="Table Grid"/>
    <w:basedOn w:val="Tablanormal"/>
    <w:uiPriority w:val="59"/>
    <w:rsid w:val="00F95921"/>
    <w:pPr>
      <w:spacing w:after="0"/>
    </w:pPr>
    <w:rPr>
      <w:rFonts w:cs="Arial"/>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35C0E"/>
    <w:pPr>
      <w:ind w:left="720"/>
      <w:contextualSpacing/>
    </w:pPr>
  </w:style>
  <w:style w:type="paragraph" w:styleId="Encabezado">
    <w:name w:val="header"/>
    <w:basedOn w:val="Normal"/>
    <w:link w:val="EncabezadoCar"/>
    <w:uiPriority w:val="99"/>
    <w:unhideWhenUsed/>
    <w:rsid w:val="009F3FA1"/>
    <w:pPr>
      <w:tabs>
        <w:tab w:val="center" w:pos="4252"/>
        <w:tab w:val="right" w:pos="8504"/>
      </w:tabs>
      <w:spacing w:after="0"/>
    </w:pPr>
  </w:style>
  <w:style w:type="character" w:customStyle="1" w:styleId="EncabezadoCar">
    <w:name w:val="Encabezado Car"/>
    <w:basedOn w:val="Fuentedeprrafopredeter"/>
    <w:link w:val="Encabezado"/>
    <w:uiPriority w:val="99"/>
    <w:rsid w:val="009F3FA1"/>
    <w:rPr>
      <w:rFonts w:cs="Arial"/>
      <w:lang w:val="es-AR"/>
    </w:rPr>
  </w:style>
  <w:style w:type="paragraph" w:styleId="Piedepgina">
    <w:name w:val="footer"/>
    <w:basedOn w:val="Normal"/>
    <w:link w:val="PiedepginaCar"/>
    <w:uiPriority w:val="99"/>
    <w:unhideWhenUsed/>
    <w:rsid w:val="009F3FA1"/>
    <w:pPr>
      <w:tabs>
        <w:tab w:val="center" w:pos="4252"/>
        <w:tab w:val="right" w:pos="8504"/>
      </w:tabs>
      <w:spacing w:after="0"/>
    </w:pPr>
  </w:style>
  <w:style w:type="character" w:customStyle="1" w:styleId="PiedepginaCar">
    <w:name w:val="Pie de página Car"/>
    <w:basedOn w:val="Fuentedeprrafopredeter"/>
    <w:link w:val="Piedepgina"/>
    <w:uiPriority w:val="99"/>
    <w:rsid w:val="009F3FA1"/>
    <w:rPr>
      <w:rFonts w:cs="Arial"/>
      <w:lang w:val="es-AR"/>
    </w:rPr>
  </w:style>
  <w:style w:type="paragraph" w:styleId="Textodeglobo">
    <w:name w:val="Balloon Text"/>
    <w:basedOn w:val="Normal"/>
    <w:link w:val="TextodegloboCar"/>
    <w:uiPriority w:val="99"/>
    <w:semiHidden/>
    <w:unhideWhenUsed/>
    <w:rsid w:val="00914D2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D2A"/>
    <w:rPr>
      <w:rFonts w:ascii="Tahoma" w:hAnsi="Tahoma" w:cs="Tahoma"/>
      <w:sz w:val="16"/>
      <w:szCs w:val="16"/>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s-E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21"/>
    <w:rPr>
      <w:rFonts w:cs="Arial"/>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95921"/>
    <w:pPr>
      <w:spacing w:after="0"/>
    </w:pPr>
    <w:rPr>
      <w:sz w:val="20"/>
      <w:szCs w:val="20"/>
    </w:rPr>
  </w:style>
  <w:style w:type="character" w:customStyle="1" w:styleId="TextonotapieCar">
    <w:name w:val="Texto nota pie Car"/>
    <w:basedOn w:val="Fuentedeprrafopredeter"/>
    <w:link w:val="Textonotapie"/>
    <w:uiPriority w:val="99"/>
    <w:semiHidden/>
    <w:rsid w:val="00F95921"/>
    <w:rPr>
      <w:rFonts w:cs="Arial"/>
      <w:sz w:val="20"/>
      <w:szCs w:val="20"/>
      <w:lang w:val="es-AR"/>
    </w:rPr>
  </w:style>
  <w:style w:type="character" w:styleId="Refdenotaalpie">
    <w:name w:val="footnote reference"/>
    <w:basedOn w:val="Fuentedeprrafopredeter"/>
    <w:uiPriority w:val="99"/>
    <w:semiHidden/>
    <w:unhideWhenUsed/>
    <w:rsid w:val="00F95921"/>
    <w:rPr>
      <w:vertAlign w:val="superscript"/>
    </w:rPr>
  </w:style>
  <w:style w:type="table" w:styleId="Tablaconcuadrcula">
    <w:name w:val="Table Grid"/>
    <w:basedOn w:val="Tablanormal"/>
    <w:uiPriority w:val="59"/>
    <w:rsid w:val="00F95921"/>
    <w:pPr>
      <w:spacing w:after="0"/>
    </w:pPr>
    <w:rPr>
      <w:rFonts w:cs="Arial"/>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35C0E"/>
    <w:pPr>
      <w:ind w:left="720"/>
      <w:contextualSpacing/>
    </w:pPr>
  </w:style>
  <w:style w:type="paragraph" w:styleId="Encabezado">
    <w:name w:val="header"/>
    <w:basedOn w:val="Normal"/>
    <w:link w:val="EncabezadoCar"/>
    <w:uiPriority w:val="99"/>
    <w:unhideWhenUsed/>
    <w:rsid w:val="009F3FA1"/>
    <w:pPr>
      <w:tabs>
        <w:tab w:val="center" w:pos="4252"/>
        <w:tab w:val="right" w:pos="8504"/>
      </w:tabs>
      <w:spacing w:after="0"/>
    </w:pPr>
  </w:style>
  <w:style w:type="character" w:customStyle="1" w:styleId="EncabezadoCar">
    <w:name w:val="Encabezado Car"/>
    <w:basedOn w:val="Fuentedeprrafopredeter"/>
    <w:link w:val="Encabezado"/>
    <w:uiPriority w:val="99"/>
    <w:rsid w:val="009F3FA1"/>
    <w:rPr>
      <w:rFonts w:cs="Arial"/>
      <w:lang w:val="es-AR"/>
    </w:rPr>
  </w:style>
  <w:style w:type="paragraph" w:styleId="Piedepgina">
    <w:name w:val="footer"/>
    <w:basedOn w:val="Normal"/>
    <w:link w:val="PiedepginaCar"/>
    <w:uiPriority w:val="99"/>
    <w:unhideWhenUsed/>
    <w:rsid w:val="009F3FA1"/>
    <w:pPr>
      <w:tabs>
        <w:tab w:val="center" w:pos="4252"/>
        <w:tab w:val="right" w:pos="8504"/>
      </w:tabs>
      <w:spacing w:after="0"/>
    </w:pPr>
  </w:style>
  <w:style w:type="character" w:customStyle="1" w:styleId="PiedepginaCar">
    <w:name w:val="Pie de página Car"/>
    <w:basedOn w:val="Fuentedeprrafopredeter"/>
    <w:link w:val="Piedepgina"/>
    <w:uiPriority w:val="99"/>
    <w:rsid w:val="009F3FA1"/>
    <w:rPr>
      <w:rFonts w:cs="Arial"/>
      <w:lang w:val="es-AR"/>
    </w:rPr>
  </w:style>
  <w:style w:type="paragraph" w:styleId="Textodeglobo">
    <w:name w:val="Balloon Text"/>
    <w:basedOn w:val="Normal"/>
    <w:link w:val="TextodegloboCar"/>
    <w:uiPriority w:val="99"/>
    <w:semiHidden/>
    <w:unhideWhenUsed/>
    <w:rsid w:val="00914D2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D2A"/>
    <w:rPr>
      <w:rFonts w:ascii="Tahoma" w:hAnsi="Tahoma" w:cs="Tahoma"/>
      <w:sz w:val="16"/>
      <w:szCs w:val="16"/>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55611">
      <w:bodyDiv w:val="1"/>
      <w:marLeft w:val="0"/>
      <w:marRight w:val="0"/>
      <w:marTop w:val="0"/>
      <w:marBottom w:val="0"/>
      <w:divBdr>
        <w:top w:val="none" w:sz="0" w:space="0" w:color="auto"/>
        <w:left w:val="none" w:sz="0" w:space="0" w:color="auto"/>
        <w:bottom w:val="none" w:sz="0" w:space="0" w:color="auto"/>
        <w:right w:val="none" w:sz="0" w:space="0" w:color="auto"/>
      </w:divBdr>
    </w:div>
    <w:div w:id="699359983">
      <w:bodyDiv w:val="1"/>
      <w:marLeft w:val="0"/>
      <w:marRight w:val="0"/>
      <w:marTop w:val="0"/>
      <w:marBottom w:val="0"/>
      <w:divBdr>
        <w:top w:val="none" w:sz="0" w:space="0" w:color="auto"/>
        <w:left w:val="none" w:sz="0" w:space="0" w:color="auto"/>
        <w:bottom w:val="none" w:sz="0" w:space="0" w:color="auto"/>
        <w:right w:val="none" w:sz="0" w:space="0" w:color="auto"/>
      </w:divBdr>
    </w:div>
    <w:div w:id="1362583869">
      <w:bodyDiv w:val="1"/>
      <w:marLeft w:val="0"/>
      <w:marRight w:val="0"/>
      <w:marTop w:val="0"/>
      <w:marBottom w:val="0"/>
      <w:divBdr>
        <w:top w:val="none" w:sz="0" w:space="0" w:color="auto"/>
        <w:left w:val="none" w:sz="0" w:space="0" w:color="auto"/>
        <w:bottom w:val="none" w:sz="0" w:space="0" w:color="auto"/>
        <w:right w:val="none" w:sz="0" w:space="0" w:color="auto"/>
      </w:divBdr>
    </w:div>
    <w:div w:id="1728068864">
      <w:bodyDiv w:val="1"/>
      <w:marLeft w:val="0"/>
      <w:marRight w:val="0"/>
      <w:marTop w:val="0"/>
      <w:marBottom w:val="0"/>
      <w:divBdr>
        <w:top w:val="none" w:sz="0" w:space="0" w:color="auto"/>
        <w:left w:val="none" w:sz="0" w:space="0" w:color="auto"/>
        <w:bottom w:val="none" w:sz="0" w:space="0" w:color="auto"/>
        <w:right w:val="none" w:sz="0" w:space="0" w:color="auto"/>
      </w:divBdr>
    </w:div>
    <w:div w:id="188713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D:\Jornadas%20FP%20-%20C&#243;rdoba\Jornadas%20FP%20C&#243;rdoba%202017%20-%2050&#176;\JIFP%20-%2050&#1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Jornadas%20FP%20-%20C&#243;rdoba\Jornadas%20FP%20C&#243;rdoba%202017%20-%2050&#176;\JIFP%20-%2050&#1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Jornadas%20FP%20-%20C&#243;rdoba\Jornadas%20FP%20C&#243;rdoba%202017%20-%2050&#176;\JIFP%20-%2050&#1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Jornadas%20FP%20-%20C&#243;rdoba\Jornadas%20FP%20C&#243;rdoba%202017%20-%2050&#176;\JIFP%20-%2050&#1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Jornadas%20FP%20-%20C&#243;rdoba\Jornadas%20FP%20C&#243;rdoba%202017%20-%2050&#176;\JIFP%20-%2050&#1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Jornadas%20FP%20-%20C&#243;rdoba\Jornadas%20FP%20C&#243;rdoba%202017%20-%2050&#176;\Material\Estimaciones%20de%20presi&#243;n%20tributari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Jornadas%20FP%20-%20C&#243;rdoba\Jornadas%20FP%20C&#243;rdoba%202017%20-%2050&#176;\Material\Estimaciones%20de%20presi&#243;n%20tributar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Gráfico 1</a:t>
            </a:r>
          </a:p>
          <a:p>
            <a:pPr>
              <a:defRPr/>
            </a:pPr>
            <a:r>
              <a:rPr lang="en-US" sz="1200"/>
              <a:t>Número de trabajos</a:t>
            </a:r>
            <a:endParaRPr lang="en-US"/>
          </a:p>
        </c:rich>
      </c:tx>
      <c:layout>
        <c:manualLayout>
          <c:xMode val="edge"/>
          <c:yMode val="edge"/>
          <c:x val="0.32224300087489066"/>
          <c:y val="0"/>
        </c:manualLayout>
      </c:layout>
      <c:overlay val="0"/>
    </c:title>
    <c:autoTitleDeleted val="0"/>
    <c:plotArea>
      <c:layout>
        <c:manualLayout>
          <c:layoutTarget val="inner"/>
          <c:xMode val="edge"/>
          <c:yMode val="edge"/>
          <c:x val="7.1988407699037624E-2"/>
          <c:y val="0.18890037735182091"/>
          <c:w val="0.89745603674540686"/>
          <c:h val="0.55585572543342388"/>
        </c:manualLayout>
      </c:layout>
      <c:lineChart>
        <c:grouping val="standard"/>
        <c:varyColors val="0"/>
        <c:ser>
          <c:idx val="0"/>
          <c:order val="0"/>
          <c:cat>
            <c:strRef>
              <c:f>Gráficos!$A$3:$A$52</c:f>
              <c:strCache>
                <c:ptCount val="50"/>
                <c:pt idx="0">
                  <c:v>1968-1°</c:v>
                </c:pt>
                <c:pt idx="1">
                  <c:v>1969-2ª</c:v>
                </c:pt>
                <c:pt idx="2">
                  <c:v>1970-3°</c:v>
                </c:pt>
                <c:pt idx="3">
                  <c:v>1971-4°</c:v>
                </c:pt>
                <c:pt idx="4">
                  <c:v>1972-5°</c:v>
                </c:pt>
                <c:pt idx="5">
                  <c:v>1973-6°</c:v>
                </c:pt>
                <c:pt idx="6">
                  <c:v>1974-7°</c:v>
                </c:pt>
                <c:pt idx="7">
                  <c:v>1975-8°</c:v>
                </c:pt>
                <c:pt idx="8">
                  <c:v>1976-9°</c:v>
                </c:pt>
                <c:pt idx="9">
                  <c:v>1977-10°</c:v>
                </c:pt>
                <c:pt idx="10">
                  <c:v>1978-11°</c:v>
                </c:pt>
                <c:pt idx="11">
                  <c:v>1979-12°</c:v>
                </c:pt>
                <c:pt idx="12">
                  <c:v>1980-13°</c:v>
                </c:pt>
                <c:pt idx="13">
                  <c:v>1981-14°</c:v>
                </c:pt>
                <c:pt idx="14">
                  <c:v>1982-15°</c:v>
                </c:pt>
                <c:pt idx="15">
                  <c:v>1983-16°</c:v>
                </c:pt>
                <c:pt idx="16">
                  <c:v>1984-17°</c:v>
                </c:pt>
                <c:pt idx="17">
                  <c:v>1985-18°</c:v>
                </c:pt>
                <c:pt idx="18">
                  <c:v>1986-19°</c:v>
                </c:pt>
                <c:pt idx="19">
                  <c:v>1987-20°</c:v>
                </c:pt>
                <c:pt idx="20">
                  <c:v>1988-21°</c:v>
                </c:pt>
                <c:pt idx="21">
                  <c:v>1989-22°</c:v>
                </c:pt>
                <c:pt idx="22">
                  <c:v>1990-23°</c:v>
                </c:pt>
                <c:pt idx="23">
                  <c:v>1991-24°</c:v>
                </c:pt>
                <c:pt idx="24">
                  <c:v>1992-25°</c:v>
                </c:pt>
                <c:pt idx="25">
                  <c:v>1993-26°</c:v>
                </c:pt>
                <c:pt idx="26">
                  <c:v>1994-27°</c:v>
                </c:pt>
                <c:pt idx="27">
                  <c:v>1995-28°</c:v>
                </c:pt>
                <c:pt idx="28">
                  <c:v>1996-29°</c:v>
                </c:pt>
                <c:pt idx="29">
                  <c:v>1997-30°</c:v>
                </c:pt>
                <c:pt idx="30">
                  <c:v>1998-31°</c:v>
                </c:pt>
                <c:pt idx="31">
                  <c:v>1999-32°</c:v>
                </c:pt>
                <c:pt idx="32">
                  <c:v>2000-33°</c:v>
                </c:pt>
                <c:pt idx="33">
                  <c:v>2001-34°</c:v>
                </c:pt>
                <c:pt idx="34">
                  <c:v>2002-35°</c:v>
                </c:pt>
                <c:pt idx="35">
                  <c:v>2003-36°</c:v>
                </c:pt>
                <c:pt idx="36">
                  <c:v>2004-37°</c:v>
                </c:pt>
                <c:pt idx="37">
                  <c:v>2005-38°</c:v>
                </c:pt>
                <c:pt idx="38">
                  <c:v>2006-39°</c:v>
                </c:pt>
                <c:pt idx="39">
                  <c:v>2007-40°</c:v>
                </c:pt>
                <c:pt idx="40">
                  <c:v>2008-41°</c:v>
                </c:pt>
                <c:pt idx="41">
                  <c:v>2009-42°</c:v>
                </c:pt>
                <c:pt idx="42">
                  <c:v>2010-43°</c:v>
                </c:pt>
                <c:pt idx="43">
                  <c:v>2011-44°</c:v>
                </c:pt>
                <c:pt idx="44">
                  <c:v>2012-45°</c:v>
                </c:pt>
                <c:pt idx="45">
                  <c:v>2013-46°</c:v>
                </c:pt>
                <c:pt idx="46">
                  <c:v>2014-47°</c:v>
                </c:pt>
                <c:pt idx="47">
                  <c:v>2015-48°</c:v>
                </c:pt>
                <c:pt idx="48">
                  <c:v>2016-49°</c:v>
                </c:pt>
                <c:pt idx="49">
                  <c:v>2017-50°</c:v>
                </c:pt>
              </c:strCache>
            </c:strRef>
          </c:cat>
          <c:val>
            <c:numRef>
              <c:f>Gráficos!$B$3:$B$52</c:f>
              <c:numCache>
                <c:formatCode>General</c:formatCode>
                <c:ptCount val="50"/>
                <c:pt idx="0">
                  <c:v>17</c:v>
                </c:pt>
                <c:pt idx="1">
                  <c:v>19</c:v>
                </c:pt>
                <c:pt idx="2">
                  <c:v>12</c:v>
                </c:pt>
                <c:pt idx="3">
                  <c:v>18</c:v>
                </c:pt>
                <c:pt idx="4">
                  <c:v>11</c:v>
                </c:pt>
                <c:pt idx="5">
                  <c:v>15</c:v>
                </c:pt>
                <c:pt idx="6">
                  <c:v>17</c:v>
                </c:pt>
                <c:pt idx="7">
                  <c:v>11</c:v>
                </c:pt>
                <c:pt idx="8">
                  <c:v>14</c:v>
                </c:pt>
                <c:pt idx="9">
                  <c:v>15</c:v>
                </c:pt>
                <c:pt idx="10">
                  <c:v>14</c:v>
                </c:pt>
                <c:pt idx="11">
                  <c:v>9</c:v>
                </c:pt>
                <c:pt idx="12">
                  <c:v>16</c:v>
                </c:pt>
                <c:pt idx="13">
                  <c:v>17</c:v>
                </c:pt>
                <c:pt idx="14">
                  <c:v>20</c:v>
                </c:pt>
                <c:pt idx="15">
                  <c:v>14</c:v>
                </c:pt>
                <c:pt idx="16">
                  <c:v>23</c:v>
                </c:pt>
                <c:pt idx="17">
                  <c:v>13</c:v>
                </c:pt>
                <c:pt idx="18">
                  <c:v>13</c:v>
                </c:pt>
                <c:pt idx="19">
                  <c:v>23</c:v>
                </c:pt>
                <c:pt idx="20">
                  <c:v>12</c:v>
                </c:pt>
                <c:pt idx="21">
                  <c:v>19</c:v>
                </c:pt>
                <c:pt idx="22">
                  <c:v>8</c:v>
                </c:pt>
                <c:pt idx="23">
                  <c:v>13</c:v>
                </c:pt>
                <c:pt idx="24">
                  <c:v>26</c:v>
                </c:pt>
                <c:pt idx="25">
                  <c:v>15</c:v>
                </c:pt>
                <c:pt idx="26">
                  <c:v>22</c:v>
                </c:pt>
                <c:pt idx="27">
                  <c:v>27</c:v>
                </c:pt>
                <c:pt idx="28">
                  <c:v>15</c:v>
                </c:pt>
                <c:pt idx="29">
                  <c:v>26</c:v>
                </c:pt>
                <c:pt idx="30">
                  <c:v>10</c:v>
                </c:pt>
                <c:pt idx="31">
                  <c:v>22</c:v>
                </c:pt>
                <c:pt idx="32">
                  <c:v>39</c:v>
                </c:pt>
                <c:pt idx="33">
                  <c:v>47</c:v>
                </c:pt>
                <c:pt idx="34">
                  <c:v>35</c:v>
                </c:pt>
                <c:pt idx="35">
                  <c:v>49</c:v>
                </c:pt>
                <c:pt idx="36">
                  <c:v>42</c:v>
                </c:pt>
                <c:pt idx="37">
                  <c:v>48</c:v>
                </c:pt>
                <c:pt idx="38">
                  <c:v>29</c:v>
                </c:pt>
                <c:pt idx="39">
                  <c:v>39</c:v>
                </c:pt>
                <c:pt idx="40">
                  <c:v>40</c:v>
                </c:pt>
                <c:pt idx="41">
                  <c:v>35</c:v>
                </c:pt>
                <c:pt idx="42">
                  <c:v>45</c:v>
                </c:pt>
                <c:pt idx="43">
                  <c:v>32</c:v>
                </c:pt>
                <c:pt idx="44">
                  <c:v>51</c:v>
                </c:pt>
                <c:pt idx="45">
                  <c:v>41</c:v>
                </c:pt>
                <c:pt idx="46">
                  <c:v>49</c:v>
                </c:pt>
                <c:pt idx="47">
                  <c:v>58</c:v>
                </c:pt>
                <c:pt idx="48">
                  <c:v>54</c:v>
                </c:pt>
              </c:numCache>
            </c:numRef>
          </c:val>
          <c:smooth val="0"/>
        </c:ser>
        <c:dLbls>
          <c:showLegendKey val="0"/>
          <c:showVal val="0"/>
          <c:showCatName val="0"/>
          <c:showSerName val="0"/>
          <c:showPercent val="0"/>
          <c:showBubbleSize val="0"/>
        </c:dLbls>
        <c:marker val="1"/>
        <c:smooth val="0"/>
        <c:axId val="280571904"/>
        <c:axId val="281012480"/>
      </c:lineChart>
      <c:catAx>
        <c:axId val="280571904"/>
        <c:scaling>
          <c:orientation val="minMax"/>
        </c:scaling>
        <c:delete val="0"/>
        <c:axPos val="b"/>
        <c:majorTickMark val="none"/>
        <c:minorTickMark val="none"/>
        <c:tickLblPos val="nextTo"/>
        <c:crossAx val="281012480"/>
        <c:crosses val="autoZero"/>
        <c:auto val="1"/>
        <c:lblAlgn val="ctr"/>
        <c:lblOffset val="100"/>
        <c:noMultiLvlLbl val="0"/>
      </c:catAx>
      <c:valAx>
        <c:axId val="281012480"/>
        <c:scaling>
          <c:orientation val="minMax"/>
        </c:scaling>
        <c:delete val="0"/>
        <c:axPos val="l"/>
        <c:numFmt formatCode="General" sourceLinked="1"/>
        <c:majorTickMark val="none"/>
        <c:minorTickMark val="none"/>
        <c:tickLblPos val="nextTo"/>
        <c:spPr>
          <a:ln w="9525">
            <a:noFill/>
          </a:ln>
        </c:spPr>
        <c:crossAx val="2805719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3333333333333333E-2"/>
          <c:y val="5.0925925925925923E-2"/>
          <c:w val="0.93888888888888888"/>
          <c:h val="0.79571011956838733"/>
        </c:manualLayout>
      </c:layout>
      <c:barChart>
        <c:barDir val="col"/>
        <c:grouping val="clustered"/>
        <c:varyColors val="0"/>
        <c:ser>
          <c:idx val="0"/>
          <c:order val="0"/>
          <c:invertIfNegative val="0"/>
          <c:cat>
            <c:numRef>
              <c:f>Datos!$A$5:$A$53</c:f>
              <c:numCache>
                <c:formatCode>General</c:formatCode>
                <c:ptCount val="49"/>
                <c:pt idx="0">
                  <c:v>1968</c:v>
                </c:pt>
                <c:pt idx="1">
                  <c:v>69</c:v>
                </c:pt>
                <c:pt idx="2">
                  <c:v>1970</c:v>
                </c:pt>
                <c:pt idx="3">
                  <c:v>71</c:v>
                </c:pt>
                <c:pt idx="4">
                  <c:v>72</c:v>
                </c:pt>
                <c:pt idx="5">
                  <c:v>73</c:v>
                </c:pt>
                <c:pt idx="6">
                  <c:v>74</c:v>
                </c:pt>
                <c:pt idx="7">
                  <c:v>75</c:v>
                </c:pt>
                <c:pt idx="8">
                  <c:v>76</c:v>
                </c:pt>
                <c:pt idx="9">
                  <c:v>77</c:v>
                </c:pt>
                <c:pt idx="10">
                  <c:v>78</c:v>
                </c:pt>
                <c:pt idx="11">
                  <c:v>79</c:v>
                </c:pt>
                <c:pt idx="12">
                  <c:v>1980</c:v>
                </c:pt>
                <c:pt idx="13">
                  <c:v>81</c:v>
                </c:pt>
                <c:pt idx="14">
                  <c:v>82</c:v>
                </c:pt>
                <c:pt idx="15">
                  <c:v>83</c:v>
                </c:pt>
                <c:pt idx="16">
                  <c:v>84</c:v>
                </c:pt>
                <c:pt idx="17">
                  <c:v>85</c:v>
                </c:pt>
                <c:pt idx="18">
                  <c:v>86</c:v>
                </c:pt>
                <c:pt idx="19">
                  <c:v>87</c:v>
                </c:pt>
                <c:pt idx="20">
                  <c:v>88</c:v>
                </c:pt>
                <c:pt idx="21">
                  <c:v>89</c:v>
                </c:pt>
                <c:pt idx="22">
                  <c:v>1990</c:v>
                </c:pt>
                <c:pt idx="23">
                  <c:v>91</c:v>
                </c:pt>
                <c:pt idx="24">
                  <c:v>92</c:v>
                </c:pt>
                <c:pt idx="25">
                  <c:v>93</c:v>
                </c:pt>
                <c:pt idx="26">
                  <c:v>94</c:v>
                </c:pt>
                <c:pt idx="27">
                  <c:v>95</c:v>
                </c:pt>
                <c:pt idx="28">
                  <c:v>96</c:v>
                </c:pt>
                <c:pt idx="29">
                  <c:v>97</c:v>
                </c:pt>
                <c:pt idx="30">
                  <c:v>98</c:v>
                </c:pt>
                <c:pt idx="31">
                  <c:v>99</c:v>
                </c:pt>
                <c:pt idx="32">
                  <c:v>2000</c:v>
                </c:pt>
                <c:pt idx="33">
                  <c:v>1</c:v>
                </c:pt>
                <c:pt idx="34">
                  <c:v>2</c:v>
                </c:pt>
                <c:pt idx="35">
                  <c:v>3</c:v>
                </c:pt>
                <c:pt idx="36">
                  <c:v>4</c:v>
                </c:pt>
                <c:pt idx="37">
                  <c:v>5</c:v>
                </c:pt>
                <c:pt idx="38">
                  <c:v>6</c:v>
                </c:pt>
                <c:pt idx="39">
                  <c:v>7</c:v>
                </c:pt>
                <c:pt idx="40">
                  <c:v>8</c:v>
                </c:pt>
                <c:pt idx="41">
                  <c:v>9</c:v>
                </c:pt>
                <c:pt idx="42">
                  <c:v>2010</c:v>
                </c:pt>
                <c:pt idx="43">
                  <c:v>11</c:v>
                </c:pt>
                <c:pt idx="44">
                  <c:v>12</c:v>
                </c:pt>
                <c:pt idx="45">
                  <c:v>13</c:v>
                </c:pt>
                <c:pt idx="46">
                  <c:v>14</c:v>
                </c:pt>
                <c:pt idx="47">
                  <c:v>15</c:v>
                </c:pt>
                <c:pt idx="48">
                  <c:v>2016</c:v>
                </c:pt>
              </c:numCache>
            </c:numRef>
          </c:cat>
          <c:val>
            <c:numRef>
              <c:f>Datos!$B$5:$B$53</c:f>
              <c:numCache>
                <c:formatCode>#,##0.0000_);\(#,##0.0000\)</c:formatCode>
                <c:ptCount val="49"/>
                <c:pt idx="0">
                  <c:v>10.507311265864393</c:v>
                </c:pt>
                <c:pt idx="1">
                  <c:v>11.240487296158992</c:v>
                </c:pt>
                <c:pt idx="2">
                  <c:v>11.666555512651353</c:v>
                </c:pt>
                <c:pt idx="3">
                  <c:v>11.910637609507621</c:v>
                </c:pt>
                <c:pt idx="4">
                  <c:v>11.954013749632043</c:v>
                </c:pt>
                <c:pt idx="5">
                  <c:v>12.191022242781209</c:v>
                </c:pt>
                <c:pt idx="6">
                  <c:v>12.634359519349466</c:v>
                </c:pt>
                <c:pt idx="7">
                  <c:v>12.356355934078024</c:v>
                </c:pt>
                <c:pt idx="8">
                  <c:v>12.163950091175268</c:v>
                </c:pt>
                <c:pt idx="9">
                  <c:v>12.832176754531639</c:v>
                </c:pt>
                <c:pt idx="10">
                  <c:v>12.152753680217668</c:v>
                </c:pt>
                <c:pt idx="11">
                  <c:v>12.803791541299477</c:v>
                </c:pt>
                <c:pt idx="12">
                  <c:v>12.805840573428387</c:v>
                </c:pt>
                <c:pt idx="13">
                  <c:v>11.928340449463873</c:v>
                </c:pt>
                <c:pt idx="14">
                  <c:v>11.398598507589883</c:v>
                </c:pt>
                <c:pt idx="15">
                  <c:v>11.699205616766669</c:v>
                </c:pt>
                <c:pt idx="16">
                  <c:v>11.777880474011976</c:v>
                </c:pt>
                <c:pt idx="17">
                  <c:v>10.808830781208513</c:v>
                </c:pt>
                <c:pt idx="18">
                  <c:v>11.436417102619519</c:v>
                </c:pt>
                <c:pt idx="19">
                  <c:v>11.577455836592145</c:v>
                </c:pt>
                <c:pt idx="20">
                  <c:v>11.209796930560929</c:v>
                </c:pt>
                <c:pt idx="21">
                  <c:v>10.287673397357567</c:v>
                </c:pt>
                <c:pt idx="22">
                  <c:v>9.9609076018108667</c:v>
                </c:pt>
                <c:pt idx="23">
                  <c:v>10.874929451875364</c:v>
                </c:pt>
                <c:pt idx="24">
                  <c:v>11.794068276986952</c:v>
                </c:pt>
                <c:pt idx="25">
                  <c:v>12.337737197323822</c:v>
                </c:pt>
                <c:pt idx="26">
                  <c:v>12.920200685429666</c:v>
                </c:pt>
                <c:pt idx="27">
                  <c:v>12.42032564550996</c:v>
                </c:pt>
                <c:pt idx="28">
                  <c:v>12.968651086286869</c:v>
                </c:pt>
                <c:pt idx="29">
                  <c:v>13.872808324492221</c:v>
                </c:pt>
                <c:pt idx="30">
                  <c:v>14.255128713152537</c:v>
                </c:pt>
                <c:pt idx="31">
                  <c:v>13.62740458928163</c:v>
                </c:pt>
                <c:pt idx="32">
                  <c:v>13.377423623440713</c:v>
                </c:pt>
                <c:pt idx="33">
                  <c:v>12.652889741654601</c:v>
                </c:pt>
                <c:pt idx="34">
                  <c:v>11.155622709636548</c:v>
                </c:pt>
                <c:pt idx="35">
                  <c:v>12.013513534113589</c:v>
                </c:pt>
                <c:pt idx="36">
                  <c:v>12.960264512663038</c:v>
                </c:pt>
                <c:pt idx="37">
                  <c:v>13.959499569345031</c:v>
                </c:pt>
                <c:pt idx="38">
                  <c:v>14.924628261167003</c:v>
                </c:pt>
                <c:pt idx="39">
                  <c:v>16.098368500010128</c:v>
                </c:pt>
                <c:pt idx="40">
                  <c:v>16.575795868970509</c:v>
                </c:pt>
                <c:pt idx="41">
                  <c:v>15.431189637637136</c:v>
                </c:pt>
                <c:pt idx="42">
                  <c:v>16.439064261642873</c:v>
                </c:pt>
                <c:pt idx="43">
                  <c:v>17.226280485750756</c:v>
                </c:pt>
                <c:pt idx="44">
                  <c:v>16.856718468101867</c:v>
                </c:pt>
                <c:pt idx="45">
                  <c:v>17.070068704937228</c:v>
                </c:pt>
                <c:pt idx="46">
                  <c:v>16.459203880992277</c:v>
                </c:pt>
                <c:pt idx="47">
                  <c:v>16.713775578882725</c:v>
                </c:pt>
                <c:pt idx="48">
                  <c:v>16.157927365972228</c:v>
                </c:pt>
              </c:numCache>
            </c:numRef>
          </c:val>
        </c:ser>
        <c:dLbls>
          <c:showLegendKey val="0"/>
          <c:showVal val="0"/>
          <c:showCatName val="0"/>
          <c:showSerName val="0"/>
          <c:showPercent val="0"/>
          <c:showBubbleSize val="0"/>
        </c:dLbls>
        <c:gapWidth val="150"/>
        <c:axId val="282457984"/>
        <c:axId val="282459520"/>
      </c:barChart>
      <c:catAx>
        <c:axId val="282457984"/>
        <c:scaling>
          <c:orientation val="minMax"/>
        </c:scaling>
        <c:delete val="0"/>
        <c:axPos val="b"/>
        <c:numFmt formatCode="General" sourceLinked="1"/>
        <c:majorTickMark val="out"/>
        <c:minorTickMark val="none"/>
        <c:tickLblPos val="nextTo"/>
        <c:crossAx val="282459520"/>
        <c:crossesAt val="5"/>
        <c:auto val="1"/>
        <c:lblAlgn val="ctr"/>
        <c:lblOffset val="100"/>
        <c:noMultiLvlLbl val="0"/>
      </c:catAx>
      <c:valAx>
        <c:axId val="282459520"/>
        <c:scaling>
          <c:orientation val="minMax"/>
          <c:max val="20"/>
          <c:min val="5"/>
        </c:scaling>
        <c:delete val="1"/>
        <c:axPos val="l"/>
        <c:numFmt formatCode="#,##0.0000_);\(#,##0.0000\)" sourceLinked="1"/>
        <c:majorTickMark val="out"/>
        <c:minorTickMark val="none"/>
        <c:tickLblPos val="nextTo"/>
        <c:crossAx val="28245798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val>
            <c:numRef>
              <c:f>Datos!$C$5:$C$53</c:f>
              <c:numCache>
                <c:formatCode>#,##0.00_);\(#,##0.00\)</c:formatCode>
                <c:ptCount val="49"/>
                <c:pt idx="0">
                  <c:v>2.8336331114149793</c:v>
                </c:pt>
                <c:pt idx="1">
                  <c:v>6.9777701615874266</c:v>
                </c:pt>
                <c:pt idx="2">
                  <c:v>3.7904781640379026</c:v>
                </c:pt>
                <c:pt idx="3">
                  <c:v>2.0921521917208752</c:v>
                </c:pt>
                <c:pt idx="4">
                  <c:v>0.36417983273873133</c:v>
                </c:pt>
                <c:pt idx="5">
                  <c:v>1.9826687346453875</c:v>
                </c:pt>
                <c:pt idx="6">
                  <c:v>3.6365882018694062</c:v>
                </c:pt>
                <c:pt idx="7">
                  <c:v>-2.2003773507131896</c:v>
                </c:pt>
                <c:pt idx="8">
                  <c:v>-1.5571406645232155</c:v>
                </c:pt>
                <c:pt idx="9">
                  <c:v>5.4935005351687272</c:v>
                </c:pt>
                <c:pt idx="10">
                  <c:v>-5.2946829467107825</c:v>
                </c:pt>
                <c:pt idx="11">
                  <c:v>5.3571221651729228</c:v>
                </c:pt>
                <c:pt idx="12">
                  <c:v>1.6003323096147604E-2</c:v>
                </c:pt>
                <c:pt idx="13">
                  <c:v>-6.8523430299865851</c:v>
                </c:pt>
                <c:pt idx="14">
                  <c:v>-4.4410364050080364</c:v>
                </c:pt>
                <c:pt idx="15">
                  <c:v>2.6372286818999946</c:v>
                </c:pt>
                <c:pt idx="16">
                  <c:v>0.67248033603712898</c:v>
                </c:pt>
                <c:pt idx="17">
                  <c:v>-8.2277086691589503</c:v>
                </c:pt>
                <c:pt idx="18">
                  <c:v>5.8062369012389814</c:v>
                </c:pt>
                <c:pt idx="19">
                  <c:v>1.2332423057595632</c:v>
                </c:pt>
                <c:pt idx="20">
                  <c:v>-3.1756450745351161</c:v>
                </c:pt>
                <c:pt idx="21">
                  <c:v>-8.226050292574028</c:v>
                </c:pt>
                <c:pt idx="22">
                  <c:v>-3.1762846945610823</c:v>
                </c:pt>
                <c:pt idx="23">
                  <c:v>9.1760900372003249</c:v>
                </c:pt>
                <c:pt idx="24">
                  <c:v>8.4519060944628457</c:v>
                </c:pt>
                <c:pt idx="25">
                  <c:v>4.6096809647752979</c:v>
                </c:pt>
                <c:pt idx="26">
                  <c:v>4.7209912060064418</c:v>
                </c:pt>
                <c:pt idx="27">
                  <c:v>-3.8689417609698906</c:v>
                </c:pt>
                <c:pt idx="28">
                  <c:v>4.4147428692832502</c:v>
                </c:pt>
                <c:pt idx="29">
                  <c:v>6.9718680238179287</c:v>
                </c:pt>
                <c:pt idx="30">
                  <c:v>2.7558975783247508</c:v>
                </c:pt>
                <c:pt idx="31">
                  <c:v>-4.4034967098665057</c:v>
                </c:pt>
                <c:pt idx="32">
                  <c:v>-1.834398943710347</c:v>
                </c:pt>
                <c:pt idx="33">
                  <c:v>-5.4160943256408522</c:v>
                </c:pt>
                <c:pt idx="34">
                  <c:v>-11.833399820824308</c:v>
                </c:pt>
                <c:pt idx="35">
                  <c:v>7.6902101012789714</c:v>
                </c:pt>
                <c:pt idx="36">
                  <c:v>7.8807167933099276</c:v>
                </c:pt>
                <c:pt idx="37">
                  <c:v>7.7099896819673219</c:v>
                </c:pt>
                <c:pt idx="38">
                  <c:v>6.9137771524517166</c:v>
                </c:pt>
                <c:pt idx="39">
                  <c:v>7.864452087541296</c:v>
                </c:pt>
                <c:pt idx="40">
                  <c:v>2.9656879140273151</c:v>
                </c:pt>
                <c:pt idx="41">
                  <c:v>-6.9052867227693664</c:v>
                </c:pt>
                <c:pt idx="42">
                  <c:v>6.5314123387318235</c:v>
                </c:pt>
                <c:pt idx="43">
                  <c:v>4.7886924193409675</c:v>
                </c:pt>
                <c:pt idx="44">
                  <c:v>-2.1453384435170642</c:v>
                </c:pt>
                <c:pt idx="45">
                  <c:v>1.2656688621755396</c:v>
                </c:pt>
                <c:pt idx="46">
                  <c:v>-3.5785727316274274</c:v>
                </c:pt>
                <c:pt idx="47">
                  <c:v>1.5466829363748102</c:v>
                </c:pt>
                <c:pt idx="48">
                  <c:v>-3.3256891017059753</c:v>
                </c:pt>
              </c:numCache>
            </c:numRef>
          </c:val>
        </c:ser>
        <c:dLbls>
          <c:showLegendKey val="0"/>
          <c:showVal val="0"/>
          <c:showCatName val="0"/>
          <c:showSerName val="0"/>
          <c:showPercent val="0"/>
          <c:showBubbleSize val="0"/>
        </c:dLbls>
        <c:gapWidth val="150"/>
        <c:axId val="308893568"/>
        <c:axId val="308895104"/>
      </c:barChart>
      <c:catAx>
        <c:axId val="308893568"/>
        <c:scaling>
          <c:orientation val="minMax"/>
        </c:scaling>
        <c:delete val="1"/>
        <c:axPos val="b"/>
        <c:majorTickMark val="out"/>
        <c:minorTickMark val="none"/>
        <c:tickLblPos val="nextTo"/>
        <c:crossAx val="308895104"/>
        <c:crosses val="autoZero"/>
        <c:auto val="1"/>
        <c:lblAlgn val="ctr"/>
        <c:lblOffset val="100"/>
        <c:noMultiLvlLbl val="0"/>
      </c:catAx>
      <c:valAx>
        <c:axId val="308895104"/>
        <c:scaling>
          <c:orientation val="minMax"/>
        </c:scaling>
        <c:delete val="0"/>
        <c:axPos val="l"/>
        <c:numFmt formatCode="#,##0.00_);\(#,##0.00\)" sourceLinked="1"/>
        <c:majorTickMark val="out"/>
        <c:minorTickMark val="none"/>
        <c:tickLblPos val="nextTo"/>
        <c:crossAx val="30889356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numRef>
              <c:f>Datos!$P$6:$P$53</c:f>
              <c:numCache>
                <c:formatCode>General</c:formatCode>
                <c:ptCount val="48"/>
                <c:pt idx="0">
                  <c:v>1968</c:v>
                </c:pt>
                <c:pt idx="1">
                  <c:v>69</c:v>
                </c:pt>
                <c:pt idx="2">
                  <c:v>1970</c:v>
                </c:pt>
                <c:pt idx="3">
                  <c:v>71</c:v>
                </c:pt>
                <c:pt idx="4">
                  <c:v>72</c:v>
                </c:pt>
                <c:pt idx="5">
                  <c:v>73</c:v>
                </c:pt>
                <c:pt idx="6">
                  <c:v>74</c:v>
                </c:pt>
                <c:pt idx="7">
                  <c:v>75</c:v>
                </c:pt>
                <c:pt idx="8">
                  <c:v>76</c:v>
                </c:pt>
                <c:pt idx="9">
                  <c:v>77</c:v>
                </c:pt>
                <c:pt idx="10">
                  <c:v>78</c:v>
                </c:pt>
                <c:pt idx="11">
                  <c:v>79</c:v>
                </c:pt>
                <c:pt idx="12">
                  <c:v>1980</c:v>
                </c:pt>
                <c:pt idx="13">
                  <c:v>81</c:v>
                </c:pt>
                <c:pt idx="14">
                  <c:v>82</c:v>
                </c:pt>
                <c:pt idx="15">
                  <c:v>83</c:v>
                </c:pt>
                <c:pt idx="16">
                  <c:v>84</c:v>
                </c:pt>
                <c:pt idx="17">
                  <c:v>85</c:v>
                </c:pt>
                <c:pt idx="18">
                  <c:v>86</c:v>
                </c:pt>
                <c:pt idx="19">
                  <c:v>87</c:v>
                </c:pt>
                <c:pt idx="20">
                  <c:v>88</c:v>
                </c:pt>
                <c:pt idx="21">
                  <c:v>89</c:v>
                </c:pt>
                <c:pt idx="22">
                  <c:v>1990</c:v>
                </c:pt>
                <c:pt idx="23">
                  <c:v>91</c:v>
                </c:pt>
                <c:pt idx="24">
                  <c:v>92</c:v>
                </c:pt>
                <c:pt idx="25">
                  <c:v>93</c:v>
                </c:pt>
                <c:pt idx="26">
                  <c:v>94</c:v>
                </c:pt>
                <c:pt idx="27">
                  <c:v>95</c:v>
                </c:pt>
                <c:pt idx="28">
                  <c:v>96</c:v>
                </c:pt>
                <c:pt idx="29">
                  <c:v>97</c:v>
                </c:pt>
                <c:pt idx="30">
                  <c:v>98</c:v>
                </c:pt>
                <c:pt idx="31">
                  <c:v>99</c:v>
                </c:pt>
                <c:pt idx="32">
                  <c:v>2000</c:v>
                </c:pt>
                <c:pt idx="33">
                  <c:v>1</c:v>
                </c:pt>
                <c:pt idx="34">
                  <c:v>2</c:v>
                </c:pt>
                <c:pt idx="35">
                  <c:v>3</c:v>
                </c:pt>
                <c:pt idx="36">
                  <c:v>4</c:v>
                </c:pt>
                <c:pt idx="37">
                  <c:v>5</c:v>
                </c:pt>
                <c:pt idx="38">
                  <c:v>6</c:v>
                </c:pt>
                <c:pt idx="39">
                  <c:v>7</c:v>
                </c:pt>
                <c:pt idx="40">
                  <c:v>8</c:v>
                </c:pt>
                <c:pt idx="41">
                  <c:v>9</c:v>
                </c:pt>
                <c:pt idx="42">
                  <c:v>2010</c:v>
                </c:pt>
                <c:pt idx="43">
                  <c:v>11</c:v>
                </c:pt>
                <c:pt idx="44">
                  <c:v>12</c:v>
                </c:pt>
                <c:pt idx="45">
                  <c:v>13</c:v>
                </c:pt>
                <c:pt idx="46">
                  <c:v>14</c:v>
                </c:pt>
                <c:pt idx="47">
                  <c:v>15</c:v>
                </c:pt>
              </c:numCache>
            </c:numRef>
          </c:cat>
          <c:val>
            <c:numRef>
              <c:f>Datos!$T$6:$T$53</c:f>
              <c:numCache>
                <c:formatCode>#,##0.00_);\(#,##0.00\)</c:formatCode>
                <c:ptCount val="48"/>
                <c:pt idx="0">
                  <c:v>20.099999999999998</c:v>
                </c:pt>
                <c:pt idx="1">
                  <c:v>19.980000000000004</c:v>
                </c:pt>
                <c:pt idx="2">
                  <c:v>21.14</c:v>
                </c:pt>
                <c:pt idx="3">
                  <c:v>20.6</c:v>
                </c:pt>
                <c:pt idx="4">
                  <c:v>20.96</c:v>
                </c:pt>
                <c:pt idx="5">
                  <c:v>24.71</c:v>
                </c:pt>
                <c:pt idx="6">
                  <c:v>28.659999999999997</c:v>
                </c:pt>
                <c:pt idx="7">
                  <c:v>32.54</c:v>
                </c:pt>
                <c:pt idx="8">
                  <c:v>28.099999999999998</c:v>
                </c:pt>
                <c:pt idx="9">
                  <c:v>25.16</c:v>
                </c:pt>
                <c:pt idx="10">
                  <c:v>27.52</c:v>
                </c:pt>
                <c:pt idx="11">
                  <c:v>26.27</c:v>
                </c:pt>
                <c:pt idx="12">
                  <c:v>29.04</c:v>
                </c:pt>
                <c:pt idx="13">
                  <c:v>31.34</c:v>
                </c:pt>
                <c:pt idx="14">
                  <c:v>28.040000000000003</c:v>
                </c:pt>
                <c:pt idx="15">
                  <c:v>25.919999999999998</c:v>
                </c:pt>
                <c:pt idx="16">
                  <c:v>26.580000000000002</c:v>
                </c:pt>
                <c:pt idx="17">
                  <c:v>29.95</c:v>
                </c:pt>
                <c:pt idx="18">
                  <c:v>32.15</c:v>
                </c:pt>
                <c:pt idx="19">
                  <c:v>34.64</c:v>
                </c:pt>
                <c:pt idx="20">
                  <c:v>32.17</c:v>
                </c:pt>
                <c:pt idx="21">
                  <c:v>31.71</c:v>
                </c:pt>
                <c:pt idx="22">
                  <c:v>30.369999999999997</c:v>
                </c:pt>
                <c:pt idx="23">
                  <c:v>31.04</c:v>
                </c:pt>
                <c:pt idx="24">
                  <c:v>31.5</c:v>
                </c:pt>
                <c:pt idx="25">
                  <c:v>30.740000000000002</c:v>
                </c:pt>
                <c:pt idx="26">
                  <c:v>30.86</c:v>
                </c:pt>
                <c:pt idx="27">
                  <c:v>31.439999999999998</c:v>
                </c:pt>
                <c:pt idx="28">
                  <c:v>29.62</c:v>
                </c:pt>
                <c:pt idx="29">
                  <c:v>29.43</c:v>
                </c:pt>
                <c:pt idx="30">
                  <c:v>30</c:v>
                </c:pt>
                <c:pt idx="31">
                  <c:v>33.18</c:v>
                </c:pt>
                <c:pt idx="32">
                  <c:v>32.78</c:v>
                </c:pt>
                <c:pt idx="33">
                  <c:v>34.480000000000004</c:v>
                </c:pt>
                <c:pt idx="34">
                  <c:v>28.2</c:v>
                </c:pt>
                <c:pt idx="35">
                  <c:v>28.56</c:v>
                </c:pt>
                <c:pt idx="36">
                  <c:v>26.599999999999998</c:v>
                </c:pt>
                <c:pt idx="37">
                  <c:v>29.26</c:v>
                </c:pt>
                <c:pt idx="38">
                  <c:v>29.810000000000002</c:v>
                </c:pt>
                <c:pt idx="39">
                  <c:v>32.61</c:v>
                </c:pt>
                <c:pt idx="40">
                  <c:v>34.410000000000004</c:v>
                </c:pt>
                <c:pt idx="41">
                  <c:v>40.010000000000005</c:v>
                </c:pt>
                <c:pt idx="42">
                  <c:v>38.369999999999997</c:v>
                </c:pt>
                <c:pt idx="43">
                  <c:v>40.03</c:v>
                </c:pt>
                <c:pt idx="44">
                  <c:v>41.309999999999995</c:v>
                </c:pt>
                <c:pt idx="45">
                  <c:v>42.86</c:v>
                </c:pt>
                <c:pt idx="46">
                  <c:v>44.949999999999996</c:v>
                </c:pt>
                <c:pt idx="47">
                  <c:v>47.14</c:v>
                </c:pt>
              </c:numCache>
            </c:numRef>
          </c:val>
          <c:smooth val="0"/>
        </c:ser>
        <c:dLbls>
          <c:showLegendKey val="0"/>
          <c:showVal val="0"/>
          <c:showCatName val="0"/>
          <c:showSerName val="0"/>
          <c:showPercent val="0"/>
          <c:showBubbleSize val="0"/>
        </c:dLbls>
        <c:marker val="1"/>
        <c:smooth val="0"/>
        <c:axId val="308911488"/>
        <c:axId val="308917376"/>
      </c:lineChart>
      <c:catAx>
        <c:axId val="308911488"/>
        <c:scaling>
          <c:orientation val="minMax"/>
        </c:scaling>
        <c:delete val="0"/>
        <c:axPos val="b"/>
        <c:numFmt formatCode="General" sourceLinked="1"/>
        <c:majorTickMark val="out"/>
        <c:minorTickMark val="none"/>
        <c:tickLblPos val="nextTo"/>
        <c:crossAx val="308917376"/>
        <c:crosses val="autoZero"/>
        <c:auto val="1"/>
        <c:lblAlgn val="ctr"/>
        <c:lblOffset val="100"/>
        <c:noMultiLvlLbl val="0"/>
      </c:catAx>
      <c:valAx>
        <c:axId val="308917376"/>
        <c:scaling>
          <c:orientation val="minMax"/>
        </c:scaling>
        <c:delete val="0"/>
        <c:axPos val="l"/>
        <c:numFmt formatCode="#,##0.00_);\(#,##0.00\)" sourceLinked="1"/>
        <c:majorTickMark val="out"/>
        <c:minorTickMark val="none"/>
        <c:tickLblPos val="nextTo"/>
        <c:crossAx val="30891148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474628171478563E-2"/>
          <c:y val="7.4548702245552642E-2"/>
          <c:w val="0.66883180227471561"/>
          <c:h val="0.8326195683872849"/>
        </c:manualLayout>
      </c:layout>
      <c:lineChart>
        <c:grouping val="standard"/>
        <c:varyColors val="0"/>
        <c:ser>
          <c:idx val="0"/>
          <c:order val="0"/>
          <c:tx>
            <c:v>Nación</c:v>
          </c:tx>
          <c:marker>
            <c:symbol val="none"/>
          </c:marker>
          <c:cat>
            <c:numRef>
              <c:f>Datos!$P$6:$P$53</c:f>
              <c:numCache>
                <c:formatCode>General</c:formatCode>
                <c:ptCount val="48"/>
                <c:pt idx="0">
                  <c:v>1968</c:v>
                </c:pt>
                <c:pt idx="1">
                  <c:v>69</c:v>
                </c:pt>
                <c:pt idx="2">
                  <c:v>1970</c:v>
                </c:pt>
                <c:pt idx="3">
                  <c:v>71</c:v>
                </c:pt>
                <c:pt idx="4">
                  <c:v>72</c:v>
                </c:pt>
                <c:pt idx="5">
                  <c:v>73</c:v>
                </c:pt>
                <c:pt idx="6">
                  <c:v>74</c:v>
                </c:pt>
                <c:pt idx="7">
                  <c:v>75</c:v>
                </c:pt>
                <c:pt idx="8">
                  <c:v>76</c:v>
                </c:pt>
                <c:pt idx="9">
                  <c:v>77</c:v>
                </c:pt>
                <c:pt idx="10">
                  <c:v>78</c:v>
                </c:pt>
                <c:pt idx="11">
                  <c:v>79</c:v>
                </c:pt>
                <c:pt idx="12">
                  <c:v>1980</c:v>
                </c:pt>
                <c:pt idx="13">
                  <c:v>81</c:v>
                </c:pt>
                <c:pt idx="14">
                  <c:v>82</c:v>
                </c:pt>
                <c:pt idx="15">
                  <c:v>83</c:v>
                </c:pt>
                <c:pt idx="16">
                  <c:v>84</c:v>
                </c:pt>
                <c:pt idx="17">
                  <c:v>85</c:v>
                </c:pt>
                <c:pt idx="18">
                  <c:v>86</c:v>
                </c:pt>
                <c:pt idx="19">
                  <c:v>87</c:v>
                </c:pt>
                <c:pt idx="20">
                  <c:v>88</c:v>
                </c:pt>
                <c:pt idx="21">
                  <c:v>89</c:v>
                </c:pt>
                <c:pt idx="22">
                  <c:v>1990</c:v>
                </c:pt>
                <c:pt idx="23">
                  <c:v>91</c:v>
                </c:pt>
                <c:pt idx="24">
                  <c:v>92</c:v>
                </c:pt>
                <c:pt idx="25">
                  <c:v>93</c:v>
                </c:pt>
                <c:pt idx="26">
                  <c:v>94</c:v>
                </c:pt>
                <c:pt idx="27">
                  <c:v>95</c:v>
                </c:pt>
                <c:pt idx="28">
                  <c:v>96</c:v>
                </c:pt>
                <c:pt idx="29">
                  <c:v>97</c:v>
                </c:pt>
                <c:pt idx="30">
                  <c:v>98</c:v>
                </c:pt>
                <c:pt idx="31">
                  <c:v>99</c:v>
                </c:pt>
                <c:pt idx="32">
                  <c:v>2000</c:v>
                </c:pt>
                <c:pt idx="33">
                  <c:v>1</c:v>
                </c:pt>
                <c:pt idx="34">
                  <c:v>2</c:v>
                </c:pt>
                <c:pt idx="35">
                  <c:v>3</c:v>
                </c:pt>
                <c:pt idx="36">
                  <c:v>4</c:v>
                </c:pt>
                <c:pt idx="37">
                  <c:v>5</c:v>
                </c:pt>
                <c:pt idx="38">
                  <c:v>6</c:v>
                </c:pt>
                <c:pt idx="39">
                  <c:v>7</c:v>
                </c:pt>
                <c:pt idx="40">
                  <c:v>8</c:v>
                </c:pt>
                <c:pt idx="41">
                  <c:v>9</c:v>
                </c:pt>
                <c:pt idx="42">
                  <c:v>2010</c:v>
                </c:pt>
                <c:pt idx="43">
                  <c:v>11</c:v>
                </c:pt>
                <c:pt idx="44">
                  <c:v>12</c:v>
                </c:pt>
                <c:pt idx="45">
                  <c:v>13</c:v>
                </c:pt>
                <c:pt idx="46">
                  <c:v>14</c:v>
                </c:pt>
                <c:pt idx="47">
                  <c:v>15</c:v>
                </c:pt>
              </c:numCache>
            </c:numRef>
          </c:cat>
          <c:val>
            <c:numRef>
              <c:f>Datos!$Q$6:$Q$53</c:f>
              <c:numCache>
                <c:formatCode>#,##0.00_);\(#,##0.00\)</c:formatCode>
                <c:ptCount val="48"/>
                <c:pt idx="0">
                  <c:v>13.45</c:v>
                </c:pt>
                <c:pt idx="1">
                  <c:v>12.97</c:v>
                </c:pt>
                <c:pt idx="2">
                  <c:v>13.56</c:v>
                </c:pt>
                <c:pt idx="3">
                  <c:v>13.5</c:v>
                </c:pt>
                <c:pt idx="4">
                  <c:v>14.11</c:v>
                </c:pt>
                <c:pt idx="5">
                  <c:v>16.95</c:v>
                </c:pt>
                <c:pt idx="6">
                  <c:v>19.45</c:v>
                </c:pt>
                <c:pt idx="7">
                  <c:v>22.07</c:v>
                </c:pt>
                <c:pt idx="8">
                  <c:v>20.18</c:v>
                </c:pt>
                <c:pt idx="9">
                  <c:v>15.87</c:v>
                </c:pt>
                <c:pt idx="10">
                  <c:v>17.2</c:v>
                </c:pt>
                <c:pt idx="11">
                  <c:v>16.29</c:v>
                </c:pt>
                <c:pt idx="12">
                  <c:v>19.13</c:v>
                </c:pt>
                <c:pt idx="13">
                  <c:v>21.78</c:v>
                </c:pt>
                <c:pt idx="14">
                  <c:v>21.3</c:v>
                </c:pt>
                <c:pt idx="15">
                  <c:v>18.54</c:v>
                </c:pt>
                <c:pt idx="16">
                  <c:v>17.78</c:v>
                </c:pt>
                <c:pt idx="17">
                  <c:v>20.13</c:v>
                </c:pt>
                <c:pt idx="18">
                  <c:v>20.28</c:v>
                </c:pt>
                <c:pt idx="19">
                  <c:v>22.36</c:v>
                </c:pt>
                <c:pt idx="20">
                  <c:v>20.9</c:v>
                </c:pt>
                <c:pt idx="21">
                  <c:v>21.5</c:v>
                </c:pt>
                <c:pt idx="22">
                  <c:v>19</c:v>
                </c:pt>
                <c:pt idx="23">
                  <c:v>18.36</c:v>
                </c:pt>
                <c:pt idx="24">
                  <c:v>17.46</c:v>
                </c:pt>
                <c:pt idx="25">
                  <c:v>16.350000000000001</c:v>
                </c:pt>
                <c:pt idx="26">
                  <c:v>16.53</c:v>
                </c:pt>
                <c:pt idx="27">
                  <c:v>17.079999999999998</c:v>
                </c:pt>
                <c:pt idx="28">
                  <c:v>16.170000000000002</c:v>
                </c:pt>
                <c:pt idx="29">
                  <c:v>15.96</c:v>
                </c:pt>
                <c:pt idx="30">
                  <c:v>15.83</c:v>
                </c:pt>
                <c:pt idx="31">
                  <c:v>17.59</c:v>
                </c:pt>
                <c:pt idx="32">
                  <c:v>17.45</c:v>
                </c:pt>
                <c:pt idx="33">
                  <c:v>18.14</c:v>
                </c:pt>
                <c:pt idx="34">
                  <c:v>15</c:v>
                </c:pt>
                <c:pt idx="35">
                  <c:v>15.51</c:v>
                </c:pt>
                <c:pt idx="36">
                  <c:v>13.2</c:v>
                </c:pt>
                <c:pt idx="37">
                  <c:v>14.48</c:v>
                </c:pt>
                <c:pt idx="38">
                  <c:v>14.45</c:v>
                </c:pt>
                <c:pt idx="39">
                  <c:v>16.86</c:v>
                </c:pt>
                <c:pt idx="40">
                  <c:v>18.23</c:v>
                </c:pt>
                <c:pt idx="41">
                  <c:v>21.61</c:v>
                </c:pt>
                <c:pt idx="42">
                  <c:v>21.05</c:v>
                </c:pt>
                <c:pt idx="43">
                  <c:v>22.18</c:v>
                </c:pt>
                <c:pt idx="44">
                  <c:v>23.22</c:v>
                </c:pt>
                <c:pt idx="45">
                  <c:v>24.05</c:v>
                </c:pt>
                <c:pt idx="46">
                  <c:v>26.11</c:v>
                </c:pt>
                <c:pt idx="47">
                  <c:v>26.43</c:v>
                </c:pt>
              </c:numCache>
            </c:numRef>
          </c:val>
          <c:smooth val="0"/>
        </c:ser>
        <c:ser>
          <c:idx val="1"/>
          <c:order val="1"/>
          <c:tx>
            <c:v>Provincia</c:v>
          </c:tx>
          <c:marker>
            <c:symbol val="none"/>
          </c:marker>
          <c:cat>
            <c:numRef>
              <c:f>Datos!$P$6:$P$53</c:f>
              <c:numCache>
                <c:formatCode>General</c:formatCode>
                <c:ptCount val="48"/>
                <c:pt idx="0">
                  <c:v>1968</c:v>
                </c:pt>
                <c:pt idx="1">
                  <c:v>69</c:v>
                </c:pt>
                <c:pt idx="2">
                  <c:v>1970</c:v>
                </c:pt>
                <c:pt idx="3">
                  <c:v>71</c:v>
                </c:pt>
                <c:pt idx="4">
                  <c:v>72</c:v>
                </c:pt>
                <c:pt idx="5">
                  <c:v>73</c:v>
                </c:pt>
                <c:pt idx="6">
                  <c:v>74</c:v>
                </c:pt>
                <c:pt idx="7">
                  <c:v>75</c:v>
                </c:pt>
                <c:pt idx="8">
                  <c:v>76</c:v>
                </c:pt>
                <c:pt idx="9">
                  <c:v>77</c:v>
                </c:pt>
                <c:pt idx="10">
                  <c:v>78</c:v>
                </c:pt>
                <c:pt idx="11">
                  <c:v>79</c:v>
                </c:pt>
                <c:pt idx="12">
                  <c:v>1980</c:v>
                </c:pt>
                <c:pt idx="13">
                  <c:v>81</c:v>
                </c:pt>
                <c:pt idx="14">
                  <c:v>82</c:v>
                </c:pt>
                <c:pt idx="15">
                  <c:v>83</c:v>
                </c:pt>
                <c:pt idx="16">
                  <c:v>84</c:v>
                </c:pt>
                <c:pt idx="17">
                  <c:v>85</c:v>
                </c:pt>
                <c:pt idx="18">
                  <c:v>86</c:v>
                </c:pt>
                <c:pt idx="19">
                  <c:v>87</c:v>
                </c:pt>
                <c:pt idx="20">
                  <c:v>88</c:v>
                </c:pt>
                <c:pt idx="21">
                  <c:v>89</c:v>
                </c:pt>
                <c:pt idx="22">
                  <c:v>1990</c:v>
                </c:pt>
                <c:pt idx="23">
                  <c:v>91</c:v>
                </c:pt>
                <c:pt idx="24">
                  <c:v>92</c:v>
                </c:pt>
                <c:pt idx="25">
                  <c:v>93</c:v>
                </c:pt>
                <c:pt idx="26">
                  <c:v>94</c:v>
                </c:pt>
                <c:pt idx="27">
                  <c:v>95</c:v>
                </c:pt>
                <c:pt idx="28">
                  <c:v>96</c:v>
                </c:pt>
                <c:pt idx="29">
                  <c:v>97</c:v>
                </c:pt>
                <c:pt idx="30">
                  <c:v>98</c:v>
                </c:pt>
                <c:pt idx="31">
                  <c:v>99</c:v>
                </c:pt>
                <c:pt idx="32">
                  <c:v>2000</c:v>
                </c:pt>
                <c:pt idx="33">
                  <c:v>1</c:v>
                </c:pt>
                <c:pt idx="34">
                  <c:v>2</c:v>
                </c:pt>
                <c:pt idx="35">
                  <c:v>3</c:v>
                </c:pt>
                <c:pt idx="36">
                  <c:v>4</c:v>
                </c:pt>
                <c:pt idx="37">
                  <c:v>5</c:v>
                </c:pt>
                <c:pt idx="38">
                  <c:v>6</c:v>
                </c:pt>
                <c:pt idx="39">
                  <c:v>7</c:v>
                </c:pt>
                <c:pt idx="40">
                  <c:v>8</c:v>
                </c:pt>
                <c:pt idx="41">
                  <c:v>9</c:v>
                </c:pt>
                <c:pt idx="42">
                  <c:v>2010</c:v>
                </c:pt>
                <c:pt idx="43">
                  <c:v>11</c:v>
                </c:pt>
                <c:pt idx="44">
                  <c:v>12</c:v>
                </c:pt>
                <c:pt idx="45">
                  <c:v>13</c:v>
                </c:pt>
                <c:pt idx="46">
                  <c:v>14</c:v>
                </c:pt>
                <c:pt idx="47">
                  <c:v>15</c:v>
                </c:pt>
              </c:numCache>
            </c:numRef>
          </c:cat>
          <c:val>
            <c:numRef>
              <c:f>Datos!$R$6:$R$53</c:f>
              <c:numCache>
                <c:formatCode>#,##0.00_);\(#,##0.00\)</c:formatCode>
                <c:ptCount val="48"/>
                <c:pt idx="0">
                  <c:v>5.17</c:v>
                </c:pt>
                <c:pt idx="1">
                  <c:v>5.48</c:v>
                </c:pt>
                <c:pt idx="2">
                  <c:v>5.93</c:v>
                </c:pt>
                <c:pt idx="3">
                  <c:v>5.6400000000000006</c:v>
                </c:pt>
                <c:pt idx="4">
                  <c:v>5.39</c:v>
                </c:pt>
                <c:pt idx="5">
                  <c:v>6.41</c:v>
                </c:pt>
                <c:pt idx="6">
                  <c:v>7.24</c:v>
                </c:pt>
                <c:pt idx="7">
                  <c:v>9.23</c:v>
                </c:pt>
                <c:pt idx="8">
                  <c:v>6.72</c:v>
                </c:pt>
                <c:pt idx="9">
                  <c:v>7.84</c:v>
                </c:pt>
                <c:pt idx="10">
                  <c:v>8.61</c:v>
                </c:pt>
                <c:pt idx="11">
                  <c:v>8.2199999999999989</c:v>
                </c:pt>
                <c:pt idx="12">
                  <c:v>8.33</c:v>
                </c:pt>
                <c:pt idx="13">
                  <c:v>8.02</c:v>
                </c:pt>
                <c:pt idx="14">
                  <c:v>5.76</c:v>
                </c:pt>
                <c:pt idx="15">
                  <c:v>6.32</c:v>
                </c:pt>
                <c:pt idx="16">
                  <c:v>7.78</c:v>
                </c:pt>
                <c:pt idx="17">
                  <c:v>8.32</c:v>
                </c:pt>
                <c:pt idx="18">
                  <c:v>10.11</c:v>
                </c:pt>
                <c:pt idx="19">
                  <c:v>10.34</c:v>
                </c:pt>
                <c:pt idx="20">
                  <c:v>9.59</c:v>
                </c:pt>
                <c:pt idx="21">
                  <c:v>8.64</c:v>
                </c:pt>
                <c:pt idx="22">
                  <c:v>9.36</c:v>
                </c:pt>
                <c:pt idx="23">
                  <c:v>10.23</c:v>
                </c:pt>
                <c:pt idx="24">
                  <c:v>11.46</c:v>
                </c:pt>
                <c:pt idx="25">
                  <c:v>11.56</c:v>
                </c:pt>
                <c:pt idx="26">
                  <c:v>11.52</c:v>
                </c:pt>
                <c:pt idx="27">
                  <c:v>11.71</c:v>
                </c:pt>
                <c:pt idx="28">
                  <c:v>10.98</c:v>
                </c:pt>
                <c:pt idx="29">
                  <c:v>10.93</c:v>
                </c:pt>
                <c:pt idx="30">
                  <c:v>11.46</c:v>
                </c:pt>
                <c:pt idx="31">
                  <c:v>12.65</c:v>
                </c:pt>
                <c:pt idx="32">
                  <c:v>12.49</c:v>
                </c:pt>
                <c:pt idx="33">
                  <c:v>13.42</c:v>
                </c:pt>
                <c:pt idx="34">
                  <c:v>10.83</c:v>
                </c:pt>
                <c:pt idx="35">
                  <c:v>10.64</c:v>
                </c:pt>
                <c:pt idx="36">
                  <c:v>11.02</c:v>
                </c:pt>
                <c:pt idx="37">
                  <c:v>12.19</c:v>
                </c:pt>
                <c:pt idx="38">
                  <c:v>12.65</c:v>
                </c:pt>
                <c:pt idx="39">
                  <c:v>13.05</c:v>
                </c:pt>
                <c:pt idx="40">
                  <c:v>13.58</c:v>
                </c:pt>
                <c:pt idx="41">
                  <c:v>15.2</c:v>
                </c:pt>
                <c:pt idx="42">
                  <c:v>14.11</c:v>
                </c:pt>
                <c:pt idx="43">
                  <c:v>14.74</c:v>
                </c:pt>
                <c:pt idx="44">
                  <c:v>15.01</c:v>
                </c:pt>
                <c:pt idx="45">
                  <c:v>15.49</c:v>
                </c:pt>
                <c:pt idx="46">
                  <c:v>15.52</c:v>
                </c:pt>
                <c:pt idx="47">
                  <c:v>17.07</c:v>
                </c:pt>
              </c:numCache>
            </c:numRef>
          </c:val>
          <c:smooth val="0"/>
        </c:ser>
        <c:ser>
          <c:idx val="2"/>
          <c:order val="2"/>
          <c:tx>
            <c:v>Municipios</c:v>
          </c:tx>
          <c:marker>
            <c:symbol val="none"/>
          </c:marker>
          <c:cat>
            <c:numRef>
              <c:f>Datos!$P$6:$P$53</c:f>
              <c:numCache>
                <c:formatCode>General</c:formatCode>
                <c:ptCount val="48"/>
                <c:pt idx="0">
                  <c:v>1968</c:v>
                </c:pt>
                <c:pt idx="1">
                  <c:v>69</c:v>
                </c:pt>
                <c:pt idx="2">
                  <c:v>1970</c:v>
                </c:pt>
                <c:pt idx="3">
                  <c:v>71</c:v>
                </c:pt>
                <c:pt idx="4">
                  <c:v>72</c:v>
                </c:pt>
                <c:pt idx="5">
                  <c:v>73</c:v>
                </c:pt>
                <c:pt idx="6">
                  <c:v>74</c:v>
                </c:pt>
                <c:pt idx="7">
                  <c:v>75</c:v>
                </c:pt>
                <c:pt idx="8">
                  <c:v>76</c:v>
                </c:pt>
                <c:pt idx="9">
                  <c:v>77</c:v>
                </c:pt>
                <c:pt idx="10">
                  <c:v>78</c:v>
                </c:pt>
                <c:pt idx="11">
                  <c:v>79</c:v>
                </c:pt>
                <c:pt idx="12">
                  <c:v>1980</c:v>
                </c:pt>
                <c:pt idx="13">
                  <c:v>81</c:v>
                </c:pt>
                <c:pt idx="14">
                  <c:v>82</c:v>
                </c:pt>
                <c:pt idx="15">
                  <c:v>83</c:v>
                </c:pt>
                <c:pt idx="16">
                  <c:v>84</c:v>
                </c:pt>
                <c:pt idx="17">
                  <c:v>85</c:v>
                </c:pt>
                <c:pt idx="18">
                  <c:v>86</c:v>
                </c:pt>
                <c:pt idx="19">
                  <c:v>87</c:v>
                </c:pt>
                <c:pt idx="20">
                  <c:v>88</c:v>
                </c:pt>
                <c:pt idx="21">
                  <c:v>89</c:v>
                </c:pt>
                <c:pt idx="22">
                  <c:v>1990</c:v>
                </c:pt>
                <c:pt idx="23">
                  <c:v>91</c:v>
                </c:pt>
                <c:pt idx="24">
                  <c:v>92</c:v>
                </c:pt>
                <c:pt idx="25">
                  <c:v>93</c:v>
                </c:pt>
                <c:pt idx="26">
                  <c:v>94</c:v>
                </c:pt>
                <c:pt idx="27">
                  <c:v>95</c:v>
                </c:pt>
                <c:pt idx="28">
                  <c:v>96</c:v>
                </c:pt>
                <c:pt idx="29">
                  <c:v>97</c:v>
                </c:pt>
                <c:pt idx="30">
                  <c:v>98</c:v>
                </c:pt>
                <c:pt idx="31">
                  <c:v>99</c:v>
                </c:pt>
                <c:pt idx="32">
                  <c:v>2000</c:v>
                </c:pt>
                <c:pt idx="33">
                  <c:v>1</c:v>
                </c:pt>
                <c:pt idx="34">
                  <c:v>2</c:v>
                </c:pt>
                <c:pt idx="35">
                  <c:v>3</c:v>
                </c:pt>
                <c:pt idx="36">
                  <c:v>4</c:v>
                </c:pt>
                <c:pt idx="37">
                  <c:v>5</c:v>
                </c:pt>
                <c:pt idx="38">
                  <c:v>6</c:v>
                </c:pt>
                <c:pt idx="39">
                  <c:v>7</c:v>
                </c:pt>
                <c:pt idx="40">
                  <c:v>8</c:v>
                </c:pt>
                <c:pt idx="41">
                  <c:v>9</c:v>
                </c:pt>
                <c:pt idx="42">
                  <c:v>2010</c:v>
                </c:pt>
                <c:pt idx="43">
                  <c:v>11</c:v>
                </c:pt>
                <c:pt idx="44">
                  <c:v>12</c:v>
                </c:pt>
                <c:pt idx="45">
                  <c:v>13</c:v>
                </c:pt>
                <c:pt idx="46">
                  <c:v>14</c:v>
                </c:pt>
                <c:pt idx="47">
                  <c:v>15</c:v>
                </c:pt>
              </c:numCache>
            </c:numRef>
          </c:cat>
          <c:val>
            <c:numRef>
              <c:f>Datos!$S$6:$S$53</c:f>
              <c:numCache>
                <c:formatCode>#,##0.00_);\(#,##0.00\)</c:formatCode>
                <c:ptCount val="48"/>
                <c:pt idx="0">
                  <c:v>1.48</c:v>
                </c:pt>
                <c:pt idx="1">
                  <c:v>1.53</c:v>
                </c:pt>
                <c:pt idx="2">
                  <c:v>1.65</c:v>
                </c:pt>
                <c:pt idx="3">
                  <c:v>1.46</c:v>
                </c:pt>
                <c:pt idx="4">
                  <c:v>1.46</c:v>
                </c:pt>
                <c:pt idx="5">
                  <c:v>1.35</c:v>
                </c:pt>
                <c:pt idx="6">
                  <c:v>1.97</c:v>
                </c:pt>
                <c:pt idx="7">
                  <c:v>1.24</c:v>
                </c:pt>
                <c:pt idx="8">
                  <c:v>1.2</c:v>
                </c:pt>
                <c:pt idx="9">
                  <c:v>1.45</c:v>
                </c:pt>
                <c:pt idx="10">
                  <c:v>1.71</c:v>
                </c:pt>
                <c:pt idx="11">
                  <c:v>1.76</c:v>
                </c:pt>
                <c:pt idx="12">
                  <c:v>1.58</c:v>
                </c:pt>
                <c:pt idx="13">
                  <c:v>1.54</c:v>
                </c:pt>
                <c:pt idx="14">
                  <c:v>0.98</c:v>
                </c:pt>
                <c:pt idx="15">
                  <c:v>1.06</c:v>
                </c:pt>
                <c:pt idx="16">
                  <c:v>1.02</c:v>
                </c:pt>
                <c:pt idx="17">
                  <c:v>1.5</c:v>
                </c:pt>
                <c:pt idx="18">
                  <c:v>1.76</c:v>
                </c:pt>
                <c:pt idx="19">
                  <c:v>1.94</c:v>
                </c:pt>
                <c:pt idx="20">
                  <c:v>1.68</c:v>
                </c:pt>
                <c:pt idx="21">
                  <c:v>1.57</c:v>
                </c:pt>
                <c:pt idx="22">
                  <c:v>2.0099999999999998</c:v>
                </c:pt>
                <c:pt idx="23">
                  <c:v>2.4500000000000002</c:v>
                </c:pt>
                <c:pt idx="24">
                  <c:v>2.58</c:v>
                </c:pt>
                <c:pt idx="25">
                  <c:v>2.83</c:v>
                </c:pt>
                <c:pt idx="26">
                  <c:v>2.81</c:v>
                </c:pt>
                <c:pt idx="27">
                  <c:v>2.65</c:v>
                </c:pt>
                <c:pt idx="28">
                  <c:v>2.4700000000000002</c:v>
                </c:pt>
                <c:pt idx="29">
                  <c:v>2.54</c:v>
                </c:pt>
                <c:pt idx="30">
                  <c:v>2.71</c:v>
                </c:pt>
                <c:pt idx="31">
                  <c:v>2.94</c:v>
                </c:pt>
                <c:pt idx="32">
                  <c:v>2.84</c:v>
                </c:pt>
                <c:pt idx="33">
                  <c:v>2.92</c:v>
                </c:pt>
                <c:pt idx="34">
                  <c:v>2.37</c:v>
                </c:pt>
                <c:pt idx="35">
                  <c:v>2.41</c:v>
                </c:pt>
                <c:pt idx="36">
                  <c:v>2.38</c:v>
                </c:pt>
                <c:pt idx="37">
                  <c:v>2.59</c:v>
                </c:pt>
                <c:pt idx="38">
                  <c:v>2.71</c:v>
                </c:pt>
                <c:pt idx="39">
                  <c:v>2.7</c:v>
                </c:pt>
                <c:pt idx="40">
                  <c:v>2.6</c:v>
                </c:pt>
                <c:pt idx="41">
                  <c:v>3.2</c:v>
                </c:pt>
                <c:pt idx="42">
                  <c:v>3.21</c:v>
                </c:pt>
                <c:pt idx="43">
                  <c:v>3.11</c:v>
                </c:pt>
                <c:pt idx="44">
                  <c:v>3.08</c:v>
                </c:pt>
                <c:pt idx="45">
                  <c:v>3.32</c:v>
                </c:pt>
                <c:pt idx="46">
                  <c:v>3.32</c:v>
                </c:pt>
                <c:pt idx="47">
                  <c:v>3.64</c:v>
                </c:pt>
              </c:numCache>
            </c:numRef>
          </c:val>
          <c:smooth val="0"/>
        </c:ser>
        <c:dLbls>
          <c:showLegendKey val="0"/>
          <c:showVal val="0"/>
          <c:showCatName val="0"/>
          <c:showSerName val="0"/>
          <c:showPercent val="0"/>
          <c:showBubbleSize val="0"/>
        </c:dLbls>
        <c:marker val="1"/>
        <c:smooth val="0"/>
        <c:axId val="314335616"/>
        <c:axId val="314337152"/>
      </c:lineChart>
      <c:catAx>
        <c:axId val="314335616"/>
        <c:scaling>
          <c:orientation val="minMax"/>
        </c:scaling>
        <c:delete val="0"/>
        <c:axPos val="b"/>
        <c:numFmt formatCode="General" sourceLinked="1"/>
        <c:majorTickMark val="out"/>
        <c:minorTickMark val="none"/>
        <c:tickLblPos val="nextTo"/>
        <c:crossAx val="314337152"/>
        <c:crosses val="autoZero"/>
        <c:auto val="1"/>
        <c:lblAlgn val="ctr"/>
        <c:lblOffset val="100"/>
        <c:noMultiLvlLbl val="0"/>
      </c:catAx>
      <c:valAx>
        <c:axId val="314337152"/>
        <c:scaling>
          <c:orientation val="minMax"/>
          <c:max val="30"/>
          <c:min val="0"/>
        </c:scaling>
        <c:delete val="0"/>
        <c:axPos val="l"/>
        <c:numFmt formatCode="#,##0.00_);\(#,##0.00\)" sourceLinked="1"/>
        <c:majorTickMark val="out"/>
        <c:minorTickMark val="none"/>
        <c:tickLblPos val="nextTo"/>
        <c:crossAx val="314335616"/>
        <c:crosses val="autoZero"/>
        <c:crossBetween val="between"/>
        <c:majorUnit val="5"/>
        <c:minorUnit val="1"/>
      </c:valAx>
    </c:plotArea>
    <c:legend>
      <c:legendPos val="r"/>
      <c:overlay val="0"/>
      <c:txPr>
        <a:bodyPr/>
        <a:lstStyle/>
        <a:p>
          <a:pPr>
            <a:defRPr baseline="0"/>
          </a:pPr>
          <a:endParaRPr lang="es-AR"/>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Nación</c:v>
          </c:tx>
          <c:marker>
            <c:symbol val="none"/>
          </c:marker>
          <c:val>
            <c:numRef>
              <c:f>Total!$R$7:$R$55</c:f>
              <c:numCache>
                <c:formatCode>#,##0.00_);\(#,##0.00\)</c:formatCode>
                <c:ptCount val="49"/>
                <c:pt idx="0">
                  <c:v>11.93</c:v>
                </c:pt>
                <c:pt idx="1">
                  <c:v>11.86</c:v>
                </c:pt>
                <c:pt idx="2">
                  <c:v>12.97</c:v>
                </c:pt>
                <c:pt idx="3">
                  <c:v>11.39</c:v>
                </c:pt>
                <c:pt idx="4">
                  <c:v>11.57</c:v>
                </c:pt>
                <c:pt idx="5">
                  <c:v>11.24</c:v>
                </c:pt>
                <c:pt idx="6">
                  <c:v>13.45</c:v>
                </c:pt>
                <c:pt idx="7">
                  <c:v>19.34</c:v>
                </c:pt>
                <c:pt idx="8">
                  <c:v>11.81</c:v>
                </c:pt>
                <c:pt idx="9">
                  <c:v>12.51</c:v>
                </c:pt>
                <c:pt idx="10">
                  <c:v>14.64</c:v>
                </c:pt>
                <c:pt idx="11">
                  <c:v>15.01</c:v>
                </c:pt>
                <c:pt idx="12">
                  <c:v>14.22</c:v>
                </c:pt>
                <c:pt idx="13">
                  <c:v>12.2</c:v>
                </c:pt>
                <c:pt idx="14">
                  <c:v>10.9</c:v>
                </c:pt>
                <c:pt idx="15">
                  <c:v>10.01</c:v>
                </c:pt>
                <c:pt idx="16">
                  <c:v>10.3</c:v>
                </c:pt>
                <c:pt idx="17">
                  <c:v>15</c:v>
                </c:pt>
                <c:pt idx="18">
                  <c:v>15.17</c:v>
                </c:pt>
                <c:pt idx="19">
                  <c:v>14.13</c:v>
                </c:pt>
                <c:pt idx="20">
                  <c:v>12.93</c:v>
                </c:pt>
                <c:pt idx="21">
                  <c:v>14.08</c:v>
                </c:pt>
                <c:pt idx="22">
                  <c:v>13.63</c:v>
                </c:pt>
                <c:pt idx="23">
                  <c:v>15.58</c:v>
                </c:pt>
                <c:pt idx="24">
                  <c:v>17.93</c:v>
                </c:pt>
                <c:pt idx="25">
                  <c:v>17.899999999999999</c:v>
                </c:pt>
                <c:pt idx="26">
                  <c:v>17.7</c:v>
                </c:pt>
                <c:pt idx="27">
                  <c:v>16.71</c:v>
                </c:pt>
                <c:pt idx="28">
                  <c:v>16.14</c:v>
                </c:pt>
                <c:pt idx="29">
                  <c:v>16.899999999999999</c:v>
                </c:pt>
                <c:pt idx="30">
                  <c:v>17.14</c:v>
                </c:pt>
                <c:pt idx="31">
                  <c:v>17.27</c:v>
                </c:pt>
                <c:pt idx="32">
                  <c:v>17.670000000000002</c:v>
                </c:pt>
                <c:pt idx="33">
                  <c:v>17.5</c:v>
                </c:pt>
                <c:pt idx="34">
                  <c:v>16.91</c:v>
                </c:pt>
                <c:pt idx="35">
                  <c:v>19.98</c:v>
                </c:pt>
                <c:pt idx="36">
                  <c:v>20.59</c:v>
                </c:pt>
                <c:pt idx="37">
                  <c:v>20.69</c:v>
                </c:pt>
                <c:pt idx="38">
                  <c:v>21.17</c:v>
                </c:pt>
                <c:pt idx="39">
                  <c:v>22.443999999999999</c:v>
                </c:pt>
                <c:pt idx="40">
                  <c:v>23.67</c:v>
                </c:pt>
                <c:pt idx="41">
                  <c:v>24.68</c:v>
                </c:pt>
                <c:pt idx="42">
                  <c:v>24.93</c:v>
                </c:pt>
                <c:pt idx="43">
                  <c:v>25.04</c:v>
                </c:pt>
                <c:pt idx="44">
                  <c:v>26.04</c:v>
                </c:pt>
                <c:pt idx="45">
                  <c:v>25.94</c:v>
                </c:pt>
                <c:pt idx="46">
                  <c:v>25.86</c:v>
                </c:pt>
                <c:pt idx="47">
                  <c:v>26.62</c:v>
                </c:pt>
                <c:pt idx="48">
                  <c:v>26.61</c:v>
                </c:pt>
              </c:numCache>
            </c:numRef>
          </c:val>
          <c:smooth val="0"/>
        </c:ser>
        <c:ser>
          <c:idx val="1"/>
          <c:order val="1"/>
          <c:tx>
            <c:v>Provincias</c:v>
          </c:tx>
          <c:marker>
            <c:symbol val="none"/>
          </c:marker>
          <c:val>
            <c:numRef>
              <c:f>Total!$S$7:$S$55</c:f>
              <c:numCache>
                <c:formatCode>General</c:formatCode>
                <c:ptCount val="49"/>
                <c:pt idx="23" formatCode="#,##0.00_);\(#,##0.00\)">
                  <c:v>2.8163248105091419</c:v>
                </c:pt>
                <c:pt idx="24" formatCode="#,##0.00_);\(#,##0.00\)">
                  <c:v>3.5459324515710891</c:v>
                </c:pt>
                <c:pt idx="25" formatCode="#,##0.00_);\(#,##0.00\)">
                  <c:v>3.7195830954948099</c:v>
                </c:pt>
                <c:pt idx="26" formatCode="#,##0.00_);\(#,##0.00\)">
                  <c:v>3.7624300807955251</c:v>
                </c:pt>
                <c:pt idx="27" formatCode="#,##0.00_);\(#,##0.00\)">
                  <c:v>3.5545978793327957</c:v>
                </c:pt>
                <c:pt idx="28" formatCode="#,##0.00_);\(#,##0.00\)">
                  <c:v>3.6016902443505416</c:v>
                </c:pt>
                <c:pt idx="29" formatCode="#,##0.00_);\(#,##0.00\)">
                  <c:v>3.7209032332965695</c:v>
                </c:pt>
                <c:pt idx="30" formatCode="#,##0.00_);\(#,##0.00\)">
                  <c:v>3.8986713408351954</c:v>
                </c:pt>
                <c:pt idx="31" formatCode="#,##0.00_);\(#,##0.00\)">
                  <c:v>3.8973910405857723</c:v>
                </c:pt>
                <c:pt idx="32" formatCode="#,##0.00_);\(#,##0.00\)">
                  <c:v>3.8247174564749264</c:v>
                </c:pt>
                <c:pt idx="33" formatCode="#,##0.00_);\(#,##0.00\)">
                  <c:v>3.637926735318965</c:v>
                </c:pt>
                <c:pt idx="34" formatCode="#,##0.00_);\(#,##0.00\)">
                  <c:v>3.4071277752895259</c:v>
                </c:pt>
                <c:pt idx="35" formatCode="#,##0.00_);\(#,##0.00\)">
                  <c:v>3.8222016498673885</c:v>
                </c:pt>
                <c:pt idx="36" formatCode="#,##0.00_);\(#,##0.00\)">
                  <c:v>3.7327231687331865</c:v>
                </c:pt>
                <c:pt idx="37" formatCode="#,##0.00_);\(#,##0.00\)">
                  <c:v>3.7647329444602757</c:v>
                </c:pt>
                <c:pt idx="38" formatCode="#,##0.00_);\(#,##0.00\)">
                  <c:v>3.8118239317003395</c:v>
                </c:pt>
                <c:pt idx="39" formatCode="#,##0.00_);\(#,##0.00\)">
                  <c:v>3.8230506811746086</c:v>
                </c:pt>
                <c:pt idx="40" formatCode="#,##0.00_);\(#,##0.00\)">
                  <c:v>3.9553045024294438</c:v>
                </c:pt>
                <c:pt idx="41" formatCode="#,##0.00_);\(#,##0.00\)">
                  <c:v>4.2430298518585587</c:v>
                </c:pt>
                <c:pt idx="42" formatCode="#,##0.00_);\(#,##0.00\)">
                  <c:v>4.1354715984211552</c:v>
                </c:pt>
                <c:pt idx="43" formatCode="#,##0.00_);\(#,##0.00\)">
                  <c:v>4.2634684152170879</c:v>
                </c:pt>
                <c:pt idx="44" formatCode="#,##0.00_);\(#,##0.00\)">
                  <c:v>4.5950322868751599</c:v>
                </c:pt>
                <c:pt idx="45" formatCode="#,##0.00_);\(#,##0.00\)">
                  <c:v>5.2703634193748012</c:v>
                </c:pt>
                <c:pt idx="46" formatCode="#,##0.00_);\(#,##0.00\)">
                  <c:v>5.2647187670203186</c:v>
                </c:pt>
                <c:pt idx="47" formatCode="#,##0.00_);\(#,##0.00\)">
                  <c:v>5.3857496531831677</c:v>
                </c:pt>
                <c:pt idx="48" formatCode="#,##0.00_);\(#,##0.00\)">
                  <c:v>5.1595302961784464</c:v>
                </c:pt>
              </c:numCache>
            </c:numRef>
          </c:val>
          <c:smooth val="0"/>
        </c:ser>
        <c:ser>
          <c:idx val="2"/>
          <c:order val="2"/>
          <c:tx>
            <c:v>Municipios</c:v>
          </c:tx>
          <c:marker>
            <c:symbol val="none"/>
          </c:marker>
          <c:val>
            <c:numRef>
              <c:f>Total!$T$7:$T$55</c:f>
              <c:numCache>
                <c:formatCode>General</c:formatCode>
                <c:ptCount val="49"/>
                <c:pt idx="25" formatCode="#,##0.00_);\(#,##0.00\)">
                  <c:v>1.40368</c:v>
                </c:pt>
                <c:pt idx="26" formatCode="#,##0.00_);\(#,##0.00\)">
                  <c:v>1.5061600000000002</c:v>
                </c:pt>
                <c:pt idx="27" formatCode="#,##0.00_);\(#,##0.00\)">
                  <c:v>1.4177500000000001</c:v>
                </c:pt>
                <c:pt idx="28" formatCode="#,##0.00_);\(#,##0.00\)">
                  <c:v>1.34121</c:v>
                </c:pt>
                <c:pt idx="29" formatCode="#,##0.00_);\(#,##0.00\)">
                  <c:v>1.3309600000000001</c:v>
                </c:pt>
                <c:pt idx="30" formatCode="#,##0.00_);\(#,##0.00\)">
                  <c:v>1.48237</c:v>
                </c:pt>
                <c:pt idx="31" formatCode="#,##0.00_);\(#,##0.00\)">
                  <c:v>1.5875999999999999</c:v>
                </c:pt>
                <c:pt idx="32" formatCode="#,##0.00_);\(#,##0.00\)">
                  <c:v>1.5023599999999999</c:v>
                </c:pt>
                <c:pt idx="33" formatCode="#,##0.00_);\(#,##0.00\)">
                  <c:v>1.5067200000000001</c:v>
                </c:pt>
                <c:pt idx="34" formatCode="#,##0.00_);\(#,##0.00\)">
                  <c:v>1.2442500000000001</c:v>
                </c:pt>
                <c:pt idx="35" formatCode="#,##0.00_);\(#,##0.00\)">
                  <c:v>1.1833100000000001</c:v>
                </c:pt>
                <c:pt idx="36" formatCode="#,##0.00_);\(#,##0.00\)">
                  <c:v>1.1138399999999999</c:v>
                </c:pt>
                <c:pt idx="37" formatCode="#,##0.00_);\(#,##0.00\)">
                  <c:v>1.1655</c:v>
                </c:pt>
                <c:pt idx="38" formatCode="#,##0.00_);\(#,##0.00\)">
                  <c:v>1.2032400000000001</c:v>
                </c:pt>
                <c:pt idx="39" formatCode="#,##0.00_);\(#,##0.00\)">
                  <c:v>1.1177999999999999</c:v>
                </c:pt>
                <c:pt idx="40" formatCode="#,##0.00_);\(#,##0.00\)">
                  <c:v>1.0686000000000002</c:v>
                </c:pt>
                <c:pt idx="41" formatCode="#,##0.00_);\(#,##0.00\)">
                  <c:v>1.3311999999999999</c:v>
                </c:pt>
                <c:pt idx="42" formatCode="#,##0.00_);\(#,##0.00\)">
                  <c:v>1.284</c:v>
                </c:pt>
                <c:pt idx="43" formatCode="#,##0.00_);\(#,##0.00\)">
                  <c:v>1.8</c:v>
                </c:pt>
                <c:pt idx="44" formatCode="#,##0.00_);\(#,##0.00\)">
                  <c:v>1.9</c:v>
                </c:pt>
                <c:pt idx="45" formatCode="#,##0.00_);\(#,##0.00\)">
                  <c:v>2</c:v>
                </c:pt>
              </c:numCache>
            </c:numRef>
          </c:val>
          <c:smooth val="0"/>
        </c:ser>
        <c:ser>
          <c:idx val="3"/>
          <c:order val="3"/>
          <c:tx>
            <c:v>TOTAL</c:v>
          </c:tx>
          <c:marker>
            <c:symbol val="none"/>
          </c:marker>
          <c:val>
            <c:numRef>
              <c:f>Total!$U$7:$U$55</c:f>
              <c:numCache>
                <c:formatCode>General</c:formatCode>
                <c:ptCount val="49"/>
                <c:pt idx="25" formatCode="#,##0.00_);\(#,##0.00\)">
                  <c:v>23.023263095494809</c:v>
                </c:pt>
                <c:pt idx="26" formatCode="#,##0.00_);\(#,##0.00\)">
                  <c:v>22.968590080795526</c:v>
                </c:pt>
                <c:pt idx="27" formatCode="#,##0.00_);\(#,##0.00\)">
                  <c:v>21.682347879332799</c:v>
                </c:pt>
                <c:pt idx="28" formatCode="#,##0.00_);\(#,##0.00\)">
                  <c:v>21.082900244350544</c:v>
                </c:pt>
                <c:pt idx="29" formatCode="#,##0.00_);\(#,##0.00\)">
                  <c:v>21.951863233296567</c:v>
                </c:pt>
                <c:pt idx="30" formatCode="#,##0.00_);\(#,##0.00\)">
                  <c:v>22.521041340835197</c:v>
                </c:pt>
                <c:pt idx="31" formatCode="#,##0.00_);\(#,##0.00\)">
                  <c:v>22.754991040585772</c:v>
                </c:pt>
                <c:pt idx="32" formatCode="#,##0.00_);\(#,##0.00\)">
                  <c:v>22.997077456474926</c:v>
                </c:pt>
                <c:pt idx="33" formatCode="#,##0.00_);\(#,##0.00\)">
                  <c:v>22.644646735318965</c:v>
                </c:pt>
                <c:pt idx="34" formatCode="#,##0.00_);\(#,##0.00\)">
                  <c:v>21.561377775289529</c:v>
                </c:pt>
                <c:pt idx="35" formatCode="#,##0.00_);\(#,##0.00\)">
                  <c:v>24.985511649867387</c:v>
                </c:pt>
                <c:pt idx="36" formatCode="#,##0.00_);\(#,##0.00\)">
                  <c:v>25.436563168733187</c:v>
                </c:pt>
                <c:pt idx="37" formatCode="#,##0.00_);\(#,##0.00\)">
                  <c:v>25.620232944460277</c:v>
                </c:pt>
                <c:pt idx="38" formatCode="#,##0.00_);\(#,##0.00\)">
                  <c:v>26.185063931700341</c:v>
                </c:pt>
                <c:pt idx="39" formatCode="#,##0.00_);\(#,##0.00\)">
                  <c:v>27.384850681174608</c:v>
                </c:pt>
                <c:pt idx="40" formatCode="#,##0.00_);\(#,##0.00\)">
                  <c:v>28.693904502429444</c:v>
                </c:pt>
                <c:pt idx="41" formatCode="#,##0.00_);\(#,##0.00\)">
                  <c:v>30.254229851858558</c:v>
                </c:pt>
                <c:pt idx="42" formatCode="#,##0.00_);\(#,##0.00\)">
                  <c:v>30.349471598421154</c:v>
                </c:pt>
                <c:pt idx="43" formatCode="#,##0.00_);\(#,##0.00\)">
                  <c:v>31.103468415217087</c:v>
                </c:pt>
                <c:pt idx="44" formatCode="#,##0.00_);\(#,##0.00\)">
                  <c:v>32.535032286875158</c:v>
                </c:pt>
                <c:pt idx="45" formatCode="#,##0.00_);\(#,##0.00\)">
                  <c:v>33.210363419374801</c:v>
                </c:pt>
              </c:numCache>
            </c:numRef>
          </c:val>
          <c:smooth val="0"/>
        </c:ser>
        <c:dLbls>
          <c:showLegendKey val="0"/>
          <c:showVal val="0"/>
          <c:showCatName val="0"/>
          <c:showSerName val="0"/>
          <c:showPercent val="0"/>
          <c:showBubbleSize val="0"/>
        </c:dLbls>
        <c:marker val="1"/>
        <c:smooth val="0"/>
        <c:axId val="148246528"/>
        <c:axId val="148248064"/>
      </c:lineChart>
      <c:catAx>
        <c:axId val="148246528"/>
        <c:scaling>
          <c:orientation val="minMax"/>
        </c:scaling>
        <c:delete val="0"/>
        <c:axPos val="b"/>
        <c:majorTickMark val="out"/>
        <c:minorTickMark val="none"/>
        <c:tickLblPos val="nextTo"/>
        <c:crossAx val="148248064"/>
        <c:crosses val="autoZero"/>
        <c:auto val="1"/>
        <c:lblAlgn val="ctr"/>
        <c:lblOffset val="100"/>
        <c:noMultiLvlLbl val="0"/>
      </c:catAx>
      <c:valAx>
        <c:axId val="148248064"/>
        <c:scaling>
          <c:orientation val="minMax"/>
        </c:scaling>
        <c:delete val="0"/>
        <c:axPos val="l"/>
        <c:numFmt formatCode="#,##0.00_);\(#,##0.00\)" sourceLinked="1"/>
        <c:majorTickMark val="out"/>
        <c:minorTickMark val="none"/>
        <c:tickLblPos val="nextTo"/>
        <c:crossAx val="14824652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61548556430445"/>
          <c:y val="2.8252405949256341E-2"/>
          <c:w val="0.84552537182852139"/>
          <c:h val="0.89719889180519097"/>
        </c:manualLayout>
      </c:layout>
      <c:lineChart>
        <c:grouping val="standard"/>
        <c:varyColors val="0"/>
        <c:ser>
          <c:idx val="0"/>
          <c:order val="0"/>
          <c:marker>
            <c:symbol val="none"/>
          </c:marker>
          <c:cat>
            <c:numRef>
              <c:f>'Resultado fiscal'!$A$6:$A$54</c:f>
              <c:numCache>
                <c:formatCode>General</c:formatCode>
                <c:ptCount val="49"/>
                <c:pt idx="0">
                  <c:v>1968</c:v>
                </c:pt>
                <c:pt idx="1">
                  <c:v>69</c:v>
                </c:pt>
                <c:pt idx="2">
                  <c:v>1970</c:v>
                </c:pt>
                <c:pt idx="3">
                  <c:v>71</c:v>
                </c:pt>
                <c:pt idx="4">
                  <c:v>72</c:v>
                </c:pt>
                <c:pt idx="5">
                  <c:v>73</c:v>
                </c:pt>
                <c:pt idx="6">
                  <c:v>74</c:v>
                </c:pt>
                <c:pt idx="7">
                  <c:v>75</c:v>
                </c:pt>
                <c:pt idx="8">
                  <c:v>76</c:v>
                </c:pt>
                <c:pt idx="9">
                  <c:v>77</c:v>
                </c:pt>
                <c:pt idx="10">
                  <c:v>78</c:v>
                </c:pt>
                <c:pt idx="11">
                  <c:v>79</c:v>
                </c:pt>
                <c:pt idx="12">
                  <c:v>1980</c:v>
                </c:pt>
                <c:pt idx="13">
                  <c:v>81</c:v>
                </c:pt>
                <c:pt idx="14">
                  <c:v>82</c:v>
                </c:pt>
                <c:pt idx="15">
                  <c:v>83</c:v>
                </c:pt>
                <c:pt idx="16">
                  <c:v>84</c:v>
                </c:pt>
                <c:pt idx="17">
                  <c:v>85</c:v>
                </c:pt>
                <c:pt idx="18">
                  <c:v>86</c:v>
                </c:pt>
                <c:pt idx="19">
                  <c:v>87</c:v>
                </c:pt>
                <c:pt idx="20">
                  <c:v>88</c:v>
                </c:pt>
                <c:pt idx="21">
                  <c:v>89</c:v>
                </c:pt>
                <c:pt idx="22">
                  <c:v>1990</c:v>
                </c:pt>
                <c:pt idx="23">
                  <c:v>91</c:v>
                </c:pt>
                <c:pt idx="24">
                  <c:v>92</c:v>
                </c:pt>
                <c:pt idx="25">
                  <c:v>93</c:v>
                </c:pt>
                <c:pt idx="26">
                  <c:v>94</c:v>
                </c:pt>
                <c:pt idx="27">
                  <c:v>95</c:v>
                </c:pt>
                <c:pt idx="28">
                  <c:v>96</c:v>
                </c:pt>
                <c:pt idx="29">
                  <c:v>97</c:v>
                </c:pt>
                <c:pt idx="30">
                  <c:v>98</c:v>
                </c:pt>
                <c:pt idx="31">
                  <c:v>99</c:v>
                </c:pt>
                <c:pt idx="32">
                  <c:v>2000</c:v>
                </c:pt>
                <c:pt idx="33">
                  <c:v>1</c:v>
                </c:pt>
                <c:pt idx="34">
                  <c:v>2</c:v>
                </c:pt>
                <c:pt idx="35">
                  <c:v>3</c:v>
                </c:pt>
                <c:pt idx="36">
                  <c:v>4</c:v>
                </c:pt>
                <c:pt idx="37">
                  <c:v>5</c:v>
                </c:pt>
                <c:pt idx="38">
                  <c:v>6</c:v>
                </c:pt>
                <c:pt idx="39">
                  <c:v>7</c:v>
                </c:pt>
                <c:pt idx="40">
                  <c:v>8</c:v>
                </c:pt>
                <c:pt idx="41">
                  <c:v>9</c:v>
                </c:pt>
                <c:pt idx="42">
                  <c:v>2010</c:v>
                </c:pt>
                <c:pt idx="43">
                  <c:v>11</c:v>
                </c:pt>
                <c:pt idx="44">
                  <c:v>12</c:v>
                </c:pt>
                <c:pt idx="45">
                  <c:v>13</c:v>
                </c:pt>
                <c:pt idx="46">
                  <c:v>14</c:v>
                </c:pt>
                <c:pt idx="47">
                  <c:v>15</c:v>
                </c:pt>
                <c:pt idx="48">
                  <c:v>2016</c:v>
                </c:pt>
              </c:numCache>
            </c:numRef>
          </c:cat>
          <c:val>
            <c:numRef>
              <c:f>'Resultado fiscal'!$L$6:$L$53</c:f>
              <c:numCache>
                <c:formatCode>#,##0.00_);\(#,##0.00\)</c:formatCode>
                <c:ptCount val="48"/>
                <c:pt idx="0">
                  <c:v>-1.8</c:v>
                </c:pt>
                <c:pt idx="1">
                  <c:v>-1.41</c:v>
                </c:pt>
                <c:pt idx="2">
                  <c:v>-1.51</c:v>
                </c:pt>
                <c:pt idx="3">
                  <c:v>-3.55</c:v>
                </c:pt>
                <c:pt idx="4">
                  <c:v>-4.6399999999999997</c:v>
                </c:pt>
                <c:pt idx="5">
                  <c:v>-6.02</c:v>
                </c:pt>
                <c:pt idx="6">
                  <c:v>-6.53</c:v>
                </c:pt>
                <c:pt idx="7">
                  <c:v>-12.03</c:v>
                </c:pt>
                <c:pt idx="8">
                  <c:v>-9.4600000000000009</c:v>
                </c:pt>
                <c:pt idx="9">
                  <c:v>-3.81</c:v>
                </c:pt>
                <c:pt idx="10">
                  <c:v>-5.26</c:v>
                </c:pt>
                <c:pt idx="11">
                  <c:v>-5.71</c:v>
                </c:pt>
                <c:pt idx="12">
                  <c:v>-6.48</c:v>
                </c:pt>
                <c:pt idx="13">
                  <c:v>-11.27</c:v>
                </c:pt>
                <c:pt idx="14">
                  <c:v>-11.36</c:v>
                </c:pt>
                <c:pt idx="15">
                  <c:v>-10.38</c:v>
                </c:pt>
                <c:pt idx="16">
                  <c:v>-8.73</c:v>
                </c:pt>
                <c:pt idx="17">
                  <c:v>-4.95</c:v>
                </c:pt>
                <c:pt idx="18">
                  <c:v>-4.09</c:v>
                </c:pt>
                <c:pt idx="19">
                  <c:v>-7.04</c:v>
                </c:pt>
                <c:pt idx="20">
                  <c:v>-7.93</c:v>
                </c:pt>
                <c:pt idx="21">
                  <c:v>-7.81</c:v>
                </c:pt>
                <c:pt idx="22">
                  <c:v>-4.7300000000000004</c:v>
                </c:pt>
                <c:pt idx="23">
                  <c:v>-1.42</c:v>
                </c:pt>
                <c:pt idx="24">
                  <c:v>-0.45</c:v>
                </c:pt>
                <c:pt idx="25">
                  <c:v>-0.01</c:v>
                </c:pt>
                <c:pt idx="26">
                  <c:v>-1.67</c:v>
                </c:pt>
                <c:pt idx="27">
                  <c:v>-2.89</c:v>
                </c:pt>
                <c:pt idx="28">
                  <c:v>-3.16</c:v>
                </c:pt>
                <c:pt idx="29">
                  <c:v>-0.82</c:v>
                </c:pt>
                <c:pt idx="30">
                  <c:v>-2.42</c:v>
                </c:pt>
                <c:pt idx="31">
                  <c:v>-4.51</c:v>
                </c:pt>
                <c:pt idx="32">
                  <c:v>-3.3</c:v>
                </c:pt>
                <c:pt idx="33">
                  <c:v>-7.03</c:v>
                </c:pt>
                <c:pt idx="34">
                  <c:v>-0.81</c:v>
                </c:pt>
                <c:pt idx="35">
                  <c:v>1.59</c:v>
                </c:pt>
                <c:pt idx="36">
                  <c:v>3.83</c:v>
                </c:pt>
                <c:pt idx="37">
                  <c:v>1.1000000000000001</c:v>
                </c:pt>
                <c:pt idx="38">
                  <c:v>1.3</c:v>
                </c:pt>
                <c:pt idx="39">
                  <c:v>0</c:v>
                </c:pt>
                <c:pt idx="40">
                  <c:v>-1.5</c:v>
                </c:pt>
                <c:pt idx="41">
                  <c:v>-4</c:v>
                </c:pt>
                <c:pt idx="42">
                  <c:v>-2</c:v>
                </c:pt>
                <c:pt idx="43">
                  <c:v>-3</c:v>
                </c:pt>
                <c:pt idx="44">
                  <c:v>-3.5</c:v>
                </c:pt>
                <c:pt idx="45">
                  <c:v>-4</c:v>
                </c:pt>
                <c:pt idx="46">
                  <c:v>-5</c:v>
                </c:pt>
                <c:pt idx="47">
                  <c:v>-6</c:v>
                </c:pt>
              </c:numCache>
            </c:numRef>
          </c:val>
          <c:smooth val="0"/>
        </c:ser>
        <c:dLbls>
          <c:showLegendKey val="0"/>
          <c:showVal val="0"/>
          <c:showCatName val="0"/>
          <c:showSerName val="0"/>
          <c:showPercent val="0"/>
          <c:showBubbleSize val="0"/>
        </c:dLbls>
        <c:marker val="1"/>
        <c:smooth val="0"/>
        <c:axId val="148301312"/>
        <c:axId val="148302848"/>
      </c:lineChart>
      <c:catAx>
        <c:axId val="148301312"/>
        <c:scaling>
          <c:orientation val="minMax"/>
        </c:scaling>
        <c:delete val="0"/>
        <c:axPos val="b"/>
        <c:numFmt formatCode="General" sourceLinked="1"/>
        <c:majorTickMark val="out"/>
        <c:minorTickMark val="none"/>
        <c:tickLblPos val="nextTo"/>
        <c:crossAx val="148302848"/>
        <c:crosses val="autoZero"/>
        <c:auto val="1"/>
        <c:lblAlgn val="ctr"/>
        <c:lblOffset val="100"/>
        <c:noMultiLvlLbl val="0"/>
      </c:catAx>
      <c:valAx>
        <c:axId val="148302848"/>
        <c:scaling>
          <c:orientation val="minMax"/>
        </c:scaling>
        <c:delete val="0"/>
        <c:axPos val="l"/>
        <c:numFmt formatCode="#,##0.00_);\(#,##0.00\)" sourceLinked="1"/>
        <c:majorTickMark val="out"/>
        <c:minorTickMark val="none"/>
        <c:tickLblPos val="nextTo"/>
        <c:crossAx val="148301312"/>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A18D6-B39C-4C04-9C62-28B95C1C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TotalTime>
  <Pages>18</Pages>
  <Words>5524</Words>
  <Characters>30385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Usuario</cp:lastModifiedBy>
  <cp:revision>8</cp:revision>
  <dcterms:created xsi:type="dcterms:W3CDTF">2017-08-21T12:05:00Z</dcterms:created>
  <dcterms:modified xsi:type="dcterms:W3CDTF">2017-08-29T21:40:00Z</dcterms:modified>
</cp:coreProperties>
</file>